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省直医疗保险门诊大病资格备案确认表（驻济联网人员）</w:t>
      </w:r>
    </w:p>
    <w:p>
      <w:pPr>
        <w:rPr>
          <w:rFonts w:hint="eastAsia" w:ascii="宋体" w:hAnsi="宋体"/>
          <w:sz w:val="24"/>
        </w:rPr>
      </w:pPr>
    </w:p>
    <w:tbl>
      <w:tblPr>
        <w:tblStyle w:val="3"/>
        <w:tblpPr w:leftFromText="180" w:rightFromText="180" w:vertAnchor="page" w:horzAnchor="page" w:tblpX="1802" w:tblpY="2989"/>
        <w:tblW w:w="87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701"/>
        <w:gridCol w:w="67"/>
        <w:gridCol w:w="308"/>
        <w:gridCol w:w="334"/>
        <w:gridCol w:w="185"/>
        <w:gridCol w:w="382"/>
        <w:gridCol w:w="83"/>
        <w:gridCol w:w="1193"/>
        <w:gridCol w:w="27"/>
        <w:gridCol w:w="331"/>
        <w:gridCol w:w="2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1809" w:type="dxa"/>
            <w:vAlign w:val="center"/>
          </w:tcPr>
          <w:p>
            <w:pPr>
              <w:widowControl/>
              <w:spacing w:line="4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     名</w:t>
            </w:r>
          </w:p>
        </w:tc>
        <w:tc>
          <w:tcPr>
            <w:tcW w:w="1701" w:type="dxa"/>
            <w:vAlign w:val="center"/>
          </w:tcPr>
          <w:p>
            <w:pPr>
              <w:widowControl/>
              <w:spacing w:line="460" w:lineRule="exact"/>
              <w:jc w:val="center"/>
              <w:rPr>
                <w:rFonts w:ascii="仿宋_GB2312" w:hAnsi="宋体" w:eastAsia="仿宋_GB2312" w:cs="宋体"/>
                <w:color w:val="000000"/>
                <w:kern w:val="0"/>
                <w:sz w:val="24"/>
                <w:szCs w:val="24"/>
              </w:rPr>
            </w:pPr>
          </w:p>
        </w:tc>
        <w:tc>
          <w:tcPr>
            <w:tcW w:w="709" w:type="dxa"/>
            <w:gridSpan w:val="3"/>
            <w:vAlign w:val="center"/>
          </w:tcPr>
          <w:p>
            <w:pPr>
              <w:widowControl/>
              <w:spacing w:line="4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性别</w:t>
            </w:r>
          </w:p>
        </w:tc>
        <w:tc>
          <w:tcPr>
            <w:tcW w:w="567" w:type="dxa"/>
            <w:gridSpan w:val="2"/>
            <w:vAlign w:val="center"/>
          </w:tcPr>
          <w:p>
            <w:pPr>
              <w:widowControl/>
              <w:spacing w:line="460" w:lineRule="exact"/>
              <w:jc w:val="center"/>
              <w:rPr>
                <w:rFonts w:ascii="仿宋_GB2312" w:hAnsi="宋体" w:eastAsia="仿宋_GB2312" w:cs="宋体"/>
                <w:color w:val="000000"/>
                <w:kern w:val="0"/>
                <w:sz w:val="24"/>
                <w:szCs w:val="24"/>
              </w:rPr>
            </w:pPr>
          </w:p>
        </w:tc>
        <w:tc>
          <w:tcPr>
            <w:tcW w:w="1276" w:type="dxa"/>
            <w:gridSpan w:val="2"/>
            <w:vAlign w:val="center"/>
          </w:tcPr>
          <w:p>
            <w:pPr>
              <w:widowControl/>
              <w:spacing w:line="4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身份证号</w:t>
            </w:r>
          </w:p>
        </w:tc>
        <w:tc>
          <w:tcPr>
            <w:tcW w:w="2722" w:type="dxa"/>
            <w:gridSpan w:val="3"/>
            <w:vAlign w:val="center"/>
          </w:tcPr>
          <w:p>
            <w:pPr>
              <w:widowControl/>
              <w:spacing w:line="460" w:lineRule="exact"/>
              <w:jc w:val="center"/>
              <w:rPr>
                <w:rFonts w:ascii="仿宋_GB2312" w:hAnsi="宋体" w:eastAsia="仿宋_GB2312"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809" w:type="dxa"/>
            <w:tcMar>
              <w:left w:w="0" w:type="dxa"/>
              <w:right w:w="0" w:type="dxa"/>
            </w:tcMar>
            <w:vAlign w:val="center"/>
          </w:tcPr>
          <w:p>
            <w:pPr>
              <w:widowControl/>
              <w:spacing w:line="4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参保人联系电话</w:t>
            </w:r>
          </w:p>
        </w:tc>
        <w:tc>
          <w:tcPr>
            <w:tcW w:w="1768" w:type="dxa"/>
            <w:gridSpan w:val="2"/>
            <w:vAlign w:val="center"/>
          </w:tcPr>
          <w:p>
            <w:pPr>
              <w:widowControl/>
              <w:spacing w:line="460" w:lineRule="exact"/>
              <w:jc w:val="center"/>
              <w:rPr>
                <w:rFonts w:ascii="仿宋_GB2312" w:hAnsi="宋体" w:eastAsia="仿宋_GB2312" w:cs="宋体"/>
                <w:color w:val="000000"/>
                <w:kern w:val="0"/>
                <w:sz w:val="24"/>
                <w:szCs w:val="24"/>
              </w:rPr>
            </w:pPr>
          </w:p>
        </w:tc>
        <w:tc>
          <w:tcPr>
            <w:tcW w:w="1292" w:type="dxa"/>
            <w:gridSpan w:val="5"/>
            <w:vAlign w:val="center"/>
          </w:tcPr>
          <w:p>
            <w:pPr>
              <w:widowControl/>
              <w:spacing w:line="4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通讯地址</w:t>
            </w:r>
          </w:p>
        </w:tc>
        <w:tc>
          <w:tcPr>
            <w:tcW w:w="3915" w:type="dxa"/>
            <w:gridSpan w:val="4"/>
            <w:vAlign w:val="center"/>
          </w:tcPr>
          <w:p>
            <w:pPr>
              <w:widowControl/>
              <w:spacing w:line="460" w:lineRule="exact"/>
              <w:jc w:val="center"/>
              <w:rPr>
                <w:rFonts w:ascii="仿宋_GB2312" w:hAnsi="宋体" w:eastAsia="仿宋_GB2312"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1809" w:type="dxa"/>
            <w:vAlign w:val="center"/>
          </w:tcPr>
          <w:p>
            <w:pPr>
              <w:widowControl/>
              <w:spacing w:line="4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2595" w:type="dxa"/>
            <w:gridSpan w:val="5"/>
            <w:vAlign w:val="center"/>
          </w:tcPr>
          <w:p>
            <w:pPr>
              <w:widowControl/>
              <w:spacing w:line="460" w:lineRule="exact"/>
              <w:jc w:val="center"/>
              <w:rPr>
                <w:rFonts w:ascii="仿宋_GB2312" w:hAnsi="宋体" w:eastAsia="仿宋_GB2312" w:cs="宋体"/>
                <w:color w:val="000000"/>
                <w:kern w:val="0"/>
                <w:sz w:val="24"/>
                <w:szCs w:val="24"/>
              </w:rPr>
            </w:pPr>
          </w:p>
        </w:tc>
        <w:tc>
          <w:tcPr>
            <w:tcW w:w="1685" w:type="dxa"/>
            <w:gridSpan w:val="4"/>
            <w:vAlign w:val="center"/>
          </w:tcPr>
          <w:p>
            <w:pPr>
              <w:widowControl/>
              <w:spacing w:line="4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联系人及电话</w:t>
            </w:r>
          </w:p>
        </w:tc>
        <w:tc>
          <w:tcPr>
            <w:tcW w:w="2695" w:type="dxa"/>
            <w:gridSpan w:val="2"/>
            <w:vAlign w:val="center"/>
          </w:tcPr>
          <w:p>
            <w:pPr>
              <w:widowControl/>
              <w:spacing w:line="460" w:lineRule="exact"/>
              <w:jc w:val="center"/>
              <w:rPr>
                <w:rFonts w:ascii="仿宋_GB2312" w:hAnsi="宋体" w:eastAsia="仿宋_GB2312"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5" w:hRule="atLeast"/>
        </w:trPr>
        <w:tc>
          <w:tcPr>
            <w:tcW w:w="4404" w:type="dxa"/>
            <w:gridSpan w:val="6"/>
            <w:vAlign w:val="center"/>
          </w:tcPr>
          <w:p>
            <w:pPr>
              <w:widowControl/>
              <w:spacing w:line="4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首次申请 □</w:t>
            </w:r>
          </w:p>
        </w:tc>
        <w:tc>
          <w:tcPr>
            <w:tcW w:w="4380" w:type="dxa"/>
            <w:gridSpan w:val="6"/>
            <w:vAlign w:val="center"/>
          </w:tcPr>
          <w:p>
            <w:pPr>
              <w:widowControl/>
              <w:spacing w:line="4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增加病种申请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809" w:type="dxa"/>
            <w:vMerge w:val="restart"/>
            <w:tcBorders>
              <w:right w:val="single" w:color="000000" w:sz="4" w:space="0"/>
            </w:tcBorders>
            <w:textDirection w:val="tbRlV"/>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病种名称</w:t>
            </w:r>
          </w:p>
        </w:tc>
        <w:tc>
          <w:tcPr>
            <w:tcW w:w="6975" w:type="dxa"/>
            <w:gridSpan w:val="11"/>
            <w:tcBorders>
              <w:top w:val="single" w:color="000000" w:sz="4" w:space="0"/>
              <w:left w:val="single" w:color="000000" w:sz="4" w:space="0"/>
              <w:bottom w:val="nil"/>
              <w:right w:val="single" w:color="000000" w:sz="4" w:space="0"/>
            </w:tcBorders>
            <w:vAlign w:val="center"/>
          </w:tcPr>
          <w:p>
            <w:pPr>
              <w:widowControl/>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□恶性肿瘤的放化疗及相关治疗</w:t>
            </w:r>
          </w:p>
          <w:p>
            <w:pPr>
              <w:widowControl/>
              <w:rPr>
                <w:rFonts w:hint="eastAsia" w:ascii="仿宋_GB2312" w:hAnsi="宋体" w:eastAsia="仿宋_GB2312" w:cs="宋体"/>
                <w:color w:val="000000"/>
                <w:kern w:val="0"/>
                <w:sz w:val="24"/>
                <w:szCs w:val="24"/>
                <w:lang w:val="en-US" w:eastAsia="zh-CN"/>
              </w:rPr>
            </w:pPr>
          </w:p>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疾病诊断</w:t>
            </w:r>
            <w:bookmarkStart w:id="0" w:name="_GoBack"/>
            <w:bookmarkEnd w:id="0"/>
            <w:r>
              <w:rPr>
                <w:rFonts w:hint="eastAsia" w:ascii="仿宋_GB2312" w:hAnsi="宋体" w:eastAsia="仿宋_GB2312" w:cs="宋体"/>
                <w:color w:val="000000"/>
                <w:kern w:val="0"/>
                <w:sz w:val="24"/>
                <w:szCs w:val="24"/>
                <w:lang w:val="en-US" w:eastAsia="zh-CN"/>
              </w:rPr>
              <w:t>：</w:t>
            </w:r>
            <w:r>
              <w:rPr>
                <w:rFonts w:hint="eastAsia" w:ascii="宋体" w:hAnsi="宋体" w:eastAsia="宋体" w:cs="宋体"/>
                <w:color w:val="000000"/>
                <w:kern w:val="0"/>
                <w:sz w:val="24"/>
                <w:szCs w:val="24"/>
                <w:lang w:val="en-US" w:eastAsia="zh-CN"/>
              </w:rPr>
              <w:t>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809" w:type="dxa"/>
            <w:vMerge w:val="continue"/>
            <w:tcBorders>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6975" w:type="dxa"/>
            <w:gridSpan w:val="11"/>
            <w:tcBorders>
              <w:top w:val="nil"/>
              <w:left w:val="single" w:color="000000" w:sz="4" w:space="0"/>
              <w:bottom w:val="nil"/>
              <w:right w:val="single" w:color="000000"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□尿毒症患者透析治疗</w:t>
            </w:r>
          </w:p>
          <w:p>
            <w:pPr>
              <w:widowControl/>
              <w:rPr>
                <w:rFonts w:ascii="仿宋_GB2312" w:hAnsi="宋体" w:eastAsia="仿宋_GB2312"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809" w:type="dxa"/>
            <w:vMerge w:val="continue"/>
            <w:tcBorders>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6975" w:type="dxa"/>
            <w:gridSpan w:val="11"/>
            <w:tcBorders>
              <w:top w:val="nil"/>
              <w:left w:val="single" w:color="000000" w:sz="4" w:space="0"/>
              <w:bottom w:val="nil"/>
              <w:right w:val="single" w:color="000000"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□器官移植后抗排异治疗</w:t>
            </w:r>
          </w:p>
          <w:p>
            <w:pPr>
              <w:widowControl/>
              <w:rPr>
                <w:rFonts w:ascii="仿宋_GB2312" w:hAnsi="宋体" w:eastAsia="仿宋_GB2312"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809" w:type="dxa"/>
            <w:vMerge w:val="continue"/>
            <w:tcBorders>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6975" w:type="dxa"/>
            <w:gridSpan w:val="11"/>
            <w:tcBorders>
              <w:top w:val="nil"/>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□精神病</w:t>
            </w:r>
          </w:p>
          <w:p>
            <w:pPr>
              <w:widowControl/>
              <w:rPr>
                <w:rFonts w:ascii="仿宋_GB2312" w:hAnsi="宋体" w:eastAsia="仿宋_GB2312" w:cs="宋体"/>
                <w:color w:val="000000"/>
                <w:kern w:val="0"/>
                <w:sz w:val="24"/>
                <w:szCs w:val="24"/>
              </w:rPr>
            </w:pPr>
          </w:p>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□黄斑病变（老年黄斑变性）</w:t>
            </w:r>
          </w:p>
          <w:p>
            <w:pPr>
              <w:widowControl/>
              <w:rPr>
                <w:rFonts w:ascii="仿宋_GB2312" w:hAnsi="宋体" w:eastAsia="仿宋_GB2312" w:cs="宋体"/>
                <w:color w:val="000000"/>
                <w:kern w:val="0"/>
                <w:sz w:val="24"/>
                <w:szCs w:val="24"/>
              </w:rPr>
            </w:pPr>
          </w:p>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□多发性硬化症</w:t>
            </w:r>
          </w:p>
          <w:p>
            <w:pPr>
              <w:widowControl/>
              <w:rPr>
                <w:rFonts w:ascii="仿宋_GB2312" w:hAnsi="宋体" w:eastAsia="仿宋_GB2312"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1809"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申请人签字</w:t>
            </w:r>
          </w:p>
        </w:tc>
        <w:tc>
          <w:tcPr>
            <w:tcW w:w="2076" w:type="dxa"/>
            <w:gridSpan w:val="3"/>
            <w:tcBorders>
              <w:top w:val="single" w:color="000000" w:sz="4" w:space="0"/>
            </w:tcBorders>
            <w:vAlign w:val="center"/>
          </w:tcPr>
          <w:p>
            <w:pPr>
              <w:widowControl/>
              <w:jc w:val="center"/>
              <w:rPr>
                <w:rFonts w:ascii="仿宋_GB2312" w:hAnsi="宋体" w:eastAsia="仿宋_GB2312" w:cs="宋体"/>
                <w:color w:val="000000"/>
                <w:kern w:val="0"/>
                <w:sz w:val="24"/>
                <w:szCs w:val="24"/>
              </w:rPr>
            </w:pPr>
          </w:p>
        </w:tc>
        <w:tc>
          <w:tcPr>
            <w:tcW w:w="2535" w:type="dxa"/>
            <w:gridSpan w:val="7"/>
            <w:tcBorders>
              <w:top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经治医生签字</w:t>
            </w:r>
          </w:p>
        </w:tc>
        <w:tc>
          <w:tcPr>
            <w:tcW w:w="2364" w:type="dxa"/>
            <w:tcBorders>
              <w:top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9" w:hRule="atLeast"/>
        </w:trPr>
        <w:tc>
          <w:tcPr>
            <w:tcW w:w="8784" w:type="dxa"/>
            <w:gridSpan w:val="12"/>
            <w:vAlign w:val="center"/>
          </w:tcPr>
          <w:p>
            <w:pPr>
              <w:widowControl/>
              <w:spacing w:line="32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医院医保办意见</w:t>
            </w:r>
            <w:r>
              <w:rPr>
                <w:rFonts w:hint="eastAsia" w:ascii="仿宋_GB2312" w:hAnsi="宋体" w:eastAsia="仿宋_GB2312" w:cs="宋体"/>
                <w:color w:val="000000"/>
                <w:kern w:val="0"/>
                <w:sz w:val="24"/>
                <w:szCs w:val="24"/>
              </w:rPr>
              <w:t>：</w:t>
            </w:r>
          </w:p>
          <w:p>
            <w:pPr>
              <w:widowControl/>
              <w:spacing w:line="320" w:lineRule="exact"/>
              <w:rPr>
                <w:rFonts w:ascii="仿宋_GB2312" w:hAnsi="宋体" w:eastAsia="仿宋_GB2312" w:cs="宋体"/>
                <w:color w:val="000000"/>
                <w:kern w:val="0"/>
                <w:sz w:val="24"/>
                <w:szCs w:val="24"/>
              </w:rPr>
            </w:pPr>
          </w:p>
          <w:p>
            <w:pPr>
              <w:widowControl/>
              <w:spacing w:line="32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（盖章）</w:t>
            </w:r>
          </w:p>
          <w:p>
            <w:pPr>
              <w:widowControl/>
              <w:spacing w:line="320" w:lineRule="exact"/>
              <w:ind w:firstLine="6000" w:firstLineChars="250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exact"/>
        </w:trPr>
        <w:tc>
          <w:tcPr>
            <w:tcW w:w="8784" w:type="dxa"/>
            <w:gridSpan w:val="12"/>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本表一式两份，协议管理医疗机构留存一份，省社保局（传真8</w:t>
            </w:r>
            <w:r>
              <w:rPr>
                <w:rFonts w:ascii="仿宋_GB2312" w:hAnsi="宋体" w:eastAsia="仿宋_GB2312" w:cs="宋体"/>
                <w:color w:val="000000"/>
                <w:kern w:val="0"/>
                <w:sz w:val="24"/>
                <w:szCs w:val="24"/>
              </w:rPr>
              <w:t>2920229</w:t>
            </w:r>
            <w:r>
              <w:rPr>
                <w:rFonts w:hint="eastAsia" w:ascii="仿宋_GB2312" w:hAnsi="宋体" w:eastAsia="仿宋_GB2312" w:cs="宋体"/>
                <w:color w:val="000000"/>
                <w:kern w:val="0"/>
                <w:sz w:val="24"/>
                <w:szCs w:val="24"/>
              </w:rPr>
              <w:t>）一份。</w:t>
            </w:r>
          </w:p>
        </w:tc>
      </w:tr>
    </w:tbl>
    <w:p>
      <w:pPr>
        <w:ind w:firstLine="1680" w:firstLineChars="700"/>
        <w:rPr>
          <w:rFonts w:hint="eastAsia" w:ascii="宋体" w:hAnsi="宋体"/>
          <w:sz w:val="24"/>
          <w:lang w:eastAsia="zh-CN"/>
        </w:rPr>
      </w:pPr>
      <w:r>
        <w:rPr>
          <w:rFonts w:hint="eastAsia" w:ascii="宋体" w:hAnsi="宋体"/>
          <w:sz w:val="24"/>
        </w:rPr>
        <w:t xml:space="preserve">备案日期：            </w:t>
      </w:r>
      <w:r>
        <w:rPr>
          <w:rFonts w:ascii="宋体" w:hAnsi="宋体"/>
          <w:sz w:val="24"/>
        </w:rPr>
        <w:t xml:space="preserve">      </w:t>
      </w:r>
      <w:r>
        <w:rPr>
          <w:rFonts w:hint="eastAsia" w:ascii="宋体" w:hAnsi="宋体"/>
          <w:sz w:val="24"/>
        </w:rPr>
        <w:t>备案</w:t>
      </w:r>
      <w:r>
        <w:rPr>
          <w:rFonts w:hint="eastAsia" w:ascii="宋体" w:hAnsi="宋体"/>
          <w:sz w:val="24"/>
          <w:lang w:eastAsia="zh-CN"/>
        </w:rPr>
        <w:t>编号：</w:t>
      </w:r>
    </w:p>
    <w:p>
      <w:pPr>
        <w:ind w:firstLine="480" w:firstLineChars="200"/>
        <w:rPr>
          <w:rFonts w:hint="eastAsia" w:ascii="宋体" w:hAnsi="宋体"/>
          <w:sz w:val="24"/>
          <w:lang w:eastAsia="zh-CN"/>
        </w:rPr>
      </w:pPr>
    </w:p>
    <w:p>
      <w:pPr>
        <w:ind w:firstLine="480" w:firstLineChars="200"/>
        <w:rPr>
          <w:rFonts w:hint="eastAsia" w:ascii="宋体" w:hAnsi="宋体"/>
          <w:sz w:val="24"/>
          <w:lang w:eastAsia="zh-CN"/>
        </w:rPr>
      </w:pPr>
    </w:p>
    <w:p>
      <w:pPr>
        <w:ind w:firstLine="480" w:firstLineChars="200"/>
        <w:rPr>
          <w:rFonts w:hint="eastAsia" w:ascii="宋体" w:hAnsi="宋体"/>
          <w:sz w:val="24"/>
          <w:lang w:eastAsia="zh-CN"/>
        </w:rPr>
      </w:pPr>
    </w:p>
    <w:p>
      <w:pPr>
        <w:jc w:val="center"/>
        <w:rPr>
          <w:rFonts w:asciiTheme="majorEastAsia" w:hAnsiTheme="majorEastAsia" w:eastAsiaTheme="majorEastAsia"/>
          <w:bCs/>
          <w:sz w:val="32"/>
          <w:szCs w:val="32"/>
        </w:rPr>
      </w:pPr>
      <w:r>
        <w:rPr>
          <w:rFonts w:hint="eastAsia" w:asciiTheme="majorEastAsia" w:hAnsiTheme="majorEastAsia" w:eastAsiaTheme="majorEastAsia"/>
          <w:bCs/>
          <w:sz w:val="32"/>
          <w:szCs w:val="32"/>
        </w:rPr>
        <w:t>省直医疗保险门诊大病名称、准入条件及医保支付范围</w:t>
      </w:r>
    </w:p>
    <w:p>
      <w:pPr>
        <w:ind w:firstLine="645"/>
        <w:rPr>
          <w:rFonts w:ascii="仿宋" w:hAnsi="仿宋" w:eastAsia="仿宋"/>
          <w:sz w:val="32"/>
          <w:szCs w:val="32"/>
        </w:rPr>
      </w:pPr>
      <w:r>
        <w:rPr>
          <w:rFonts w:hint="eastAsia" w:ascii="黑体" w:hAnsi="黑体" w:eastAsia="黑体"/>
          <w:sz w:val="32"/>
          <w:szCs w:val="32"/>
        </w:rPr>
        <w:t>1</w:t>
      </w:r>
      <w:r>
        <w:rPr>
          <w:rFonts w:ascii="黑体" w:hAnsi="黑体" w:eastAsia="黑体"/>
          <w:sz w:val="32"/>
          <w:szCs w:val="32"/>
        </w:rPr>
        <w:t>.</w:t>
      </w:r>
      <w:r>
        <w:rPr>
          <w:rFonts w:hint="eastAsia" w:ascii="黑体" w:hAnsi="黑体" w:eastAsia="黑体"/>
          <w:sz w:val="32"/>
          <w:szCs w:val="32"/>
        </w:rPr>
        <w:t>恶性肿瘤放化疗及相关治疗：</w:t>
      </w:r>
      <w:r>
        <w:rPr>
          <w:rFonts w:hint="eastAsia" w:ascii="仿宋" w:hAnsi="仿宋" w:eastAsia="仿宋"/>
          <w:sz w:val="32"/>
          <w:szCs w:val="32"/>
        </w:rPr>
        <w:t>需提供病理检查报告单。无病理报告的需提供明确的临床诊断，明确支持诊断的实验室检查及其他相关检查检验报告和主治医师出具的治疗方案。对高度怀疑恶性肿瘤的并在临床中按恶性肿瘤放化疗治疗（三级或专科医疗机构出具相关治疗方案）的患者，参照门诊大病的管理规定执行。</w:t>
      </w:r>
    </w:p>
    <w:p>
      <w:pPr>
        <w:ind w:firstLine="645"/>
        <w:rPr>
          <w:rFonts w:ascii="仿宋" w:hAnsi="仿宋" w:eastAsia="仿宋"/>
          <w:sz w:val="32"/>
          <w:szCs w:val="32"/>
        </w:rPr>
      </w:pPr>
      <w:r>
        <w:rPr>
          <w:rFonts w:hint="eastAsia" w:ascii="黑体" w:hAnsi="黑体" w:eastAsia="黑体"/>
          <w:sz w:val="32"/>
          <w:szCs w:val="32"/>
        </w:rPr>
        <w:t>2</w:t>
      </w:r>
      <w:r>
        <w:rPr>
          <w:rFonts w:ascii="黑体" w:hAnsi="黑体" w:eastAsia="黑体"/>
          <w:sz w:val="32"/>
          <w:szCs w:val="32"/>
        </w:rPr>
        <w:t>.</w:t>
      </w:r>
      <w:r>
        <w:rPr>
          <w:rFonts w:hint="eastAsia" w:ascii="黑体" w:hAnsi="黑体" w:eastAsia="黑体"/>
          <w:sz w:val="32"/>
          <w:szCs w:val="32"/>
        </w:rPr>
        <w:t>尿毒症患者透析治疗：</w:t>
      </w:r>
      <w:r>
        <w:rPr>
          <w:rFonts w:hint="eastAsia" w:ascii="仿宋" w:hAnsi="仿宋" w:eastAsia="仿宋"/>
          <w:sz w:val="32"/>
          <w:szCs w:val="32"/>
        </w:rPr>
        <w:t>需提供诊断证明、近期符合透析条件的肾功能检查化验报告等。</w:t>
      </w:r>
    </w:p>
    <w:p>
      <w:pPr>
        <w:ind w:firstLine="645"/>
        <w:rPr>
          <w:rFonts w:ascii="仿宋" w:hAnsi="仿宋" w:eastAsia="仿宋"/>
          <w:sz w:val="32"/>
          <w:szCs w:val="32"/>
        </w:rPr>
      </w:pPr>
      <w:r>
        <w:rPr>
          <w:rFonts w:hint="eastAsia" w:ascii="黑体" w:hAnsi="黑体" w:eastAsia="黑体"/>
          <w:sz w:val="32"/>
          <w:szCs w:val="32"/>
        </w:rPr>
        <w:t>3</w:t>
      </w:r>
      <w:r>
        <w:rPr>
          <w:rFonts w:ascii="黑体" w:hAnsi="黑体" w:eastAsia="黑体"/>
          <w:sz w:val="32"/>
          <w:szCs w:val="32"/>
        </w:rPr>
        <w:t>.</w:t>
      </w:r>
      <w:r>
        <w:rPr>
          <w:rFonts w:hint="eastAsia" w:ascii="黑体" w:hAnsi="黑体" w:eastAsia="黑体"/>
          <w:sz w:val="32"/>
          <w:szCs w:val="32"/>
        </w:rPr>
        <w:t>器官移植后抗排异治疗：</w:t>
      </w:r>
      <w:r>
        <w:rPr>
          <w:rFonts w:hint="eastAsia" w:ascii="仿宋" w:hAnsi="仿宋" w:eastAsia="仿宋"/>
          <w:sz w:val="32"/>
          <w:szCs w:val="32"/>
        </w:rPr>
        <w:t>需提供诊断证明及手术记录。</w:t>
      </w:r>
    </w:p>
    <w:p>
      <w:pPr>
        <w:ind w:firstLine="645"/>
        <w:rPr>
          <w:rFonts w:ascii="仿宋" w:hAnsi="仿宋" w:eastAsia="仿宋"/>
          <w:sz w:val="32"/>
          <w:szCs w:val="32"/>
        </w:rPr>
      </w:pPr>
      <w:r>
        <w:rPr>
          <w:rFonts w:hint="eastAsia" w:ascii="黑体" w:hAnsi="黑体" w:eastAsia="黑体"/>
          <w:sz w:val="32"/>
          <w:szCs w:val="32"/>
        </w:rPr>
        <w:t>4</w:t>
      </w:r>
      <w:r>
        <w:rPr>
          <w:rFonts w:ascii="黑体" w:hAnsi="黑体" w:eastAsia="黑体"/>
          <w:sz w:val="32"/>
          <w:szCs w:val="32"/>
        </w:rPr>
        <w:t>.</w:t>
      </w:r>
      <w:r>
        <w:rPr>
          <w:rFonts w:hint="eastAsia" w:ascii="黑体" w:hAnsi="黑体" w:eastAsia="黑体"/>
          <w:sz w:val="32"/>
          <w:szCs w:val="32"/>
        </w:rPr>
        <w:t>精神病：</w:t>
      </w:r>
      <w:r>
        <w:rPr>
          <w:rFonts w:hint="eastAsia" w:ascii="仿宋" w:hAnsi="仿宋" w:eastAsia="仿宋"/>
          <w:sz w:val="32"/>
          <w:szCs w:val="32"/>
        </w:rPr>
        <w:t xml:space="preserve">需提供精神病专科医院（省、市精神卫生中心）出具的诊断证明及治疗记录等。对由器质性病变（如脑萎缩、脑外伤、癫痫等）导致的精神病（精神障碍）纳入门诊大病管理，此类患者治疗精神障碍及相关诊疗项目按门诊大病规定支付，其他治疗费用按普通门诊支付。           　                       </w:t>
      </w:r>
    </w:p>
    <w:p>
      <w:pPr>
        <w:ind w:firstLine="645"/>
        <w:rPr>
          <w:rFonts w:ascii="仿宋" w:hAnsi="仿宋" w:eastAsia="仿宋"/>
          <w:sz w:val="32"/>
          <w:szCs w:val="32"/>
        </w:rPr>
      </w:pPr>
      <w:r>
        <w:rPr>
          <w:rFonts w:hint="eastAsia" w:ascii="黑体" w:hAnsi="黑体" w:eastAsia="黑体"/>
          <w:sz w:val="32"/>
          <w:szCs w:val="32"/>
        </w:rPr>
        <w:t>5</w:t>
      </w:r>
      <w:r>
        <w:rPr>
          <w:rFonts w:ascii="黑体" w:hAnsi="黑体" w:eastAsia="黑体"/>
          <w:sz w:val="32"/>
          <w:szCs w:val="32"/>
        </w:rPr>
        <w:t>.</w:t>
      </w:r>
      <w:r>
        <w:rPr>
          <w:rFonts w:hint="eastAsia" w:ascii="黑体" w:hAnsi="黑体" w:eastAsia="黑体"/>
          <w:sz w:val="32"/>
          <w:szCs w:val="32"/>
        </w:rPr>
        <w:t>黄斑病变：</w:t>
      </w:r>
      <w:r>
        <w:rPr>
          <w:rFonts w:hint="eastAsia" w:ascii="仿宋" w:hAnsi="仿宋" w:eastAsia="仿宋"/>
          <w:sz w:val="32"/>
          <w:szCs w:val="32"/>
        </w:rPr>
        <w:t>50岁以上湿性年龄相关性黄斑变性患者，需三级综合医院眼科或二级及以上眼科专科医院医师诊断，病眼基线矫正视力0.05-0.5，使用雷珠单抗、康柏西普眼内注射治疗黄斑病变（限老年黄斑变性）时，申请参照门诊大病规定支付，初次申请需有血管造影及OCT（全身情况不允许的患者可以提供OCT血管成像）证据，未事前申请的医保不予支付；每个年度最多支付4支，每眼累计最多支付9支。</w:t>
      </w:r>
    </w:p>
    <w:p>
      <w:pPr>
        <w:ind w:firstLine="645"/>
        <w:rPr>
          <w:rFonts w:ascii="仿宋" w:hAnsi="仿宋" w:eastAsia="仿宋"/>
          <w:sz w:val="32"/>
          <w:szCs w:val="32"/>
        </w:rPr>
      </w:pPr>
      <w:r>
        <w:rPr>
          <w:rFonts w:ascii="黑体" w:hAnsi="黑体" w:eastAsia="黑体"/>
          <w:sz w:val="32"/>
          <w:szCs w:val="32"/>
        </w:rPr>
        <w:t>6.</w:t>
      </w:r>
      <w:r>
        <w:rPr>
          <w:rFonts w:hint="eastAsia" w:ascii="黑体" w:hAnsi="黑体" w:eastAsia="黑体"/>
          <w:sz w:val="32"/>
          <w:szCs w:val="32"/>
        </w:rPr>
        <w:t>多发性硬化症：</w:t>
      </w:r>
      <w:r>
        <w:rPr>
          <w:rFonts w:hint="eastAsia" w:ascii="仿宋" w:hAnsi="仿宋" w:eastAsia="仿宋"/>
          <w:sz w:val="32"/>
          <w:szCs w:val="32"/>
        </w:rPr>
        <w:t>常规治疗无效，需使用重组人干扰素β-1b治疗的多发性硬化患者。</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以上需提供证明等</w:t>
      </w:r>
      <w:r>
        <w:rPr>
          <w:rFonts w:hint="eastAsia" w:ascii="仿宋" w:hAnsi="仿宋" w:eastAsia="仿宋"/>
          <w:sz w:val="32"/>
          <w:szCs w:val="32"/>
        </w:rPr>
        <w:t>，</w:t>
      </w:r>
      <w:r>
        <w:rPr>
          <w:rFonts w:ascii="仿宋" w:hAnsi="仿宋" w:eastAsia="仿宋"/>
          <w:sz w:val="32"/>
          <w:szCs w:val="32"/>
        </w:rPr>
        <w:t>协议管理医疗机构</w:t>
      </w:r>
      <w:r>
        <w:rPr>
          <w:rFonts w:hint="eastAsia" w:ascii="仿宋" w:hAnsi="仿宋" w:eastAsia="仿宋"/>
          <w:sz w:val="32"/>
          <w:szCs w:val="32"/>
        </w:rPr>
        <w:t>H</w:t>
      </w:r>
      <w:r>
        <w:rPr>
          <w:rFonts w:ascii="仿宋" w:hAnsi="仿宋" w:eastAsia="仿宋"/>
          <w:sz w:val="32"/>
          <w:szCs w:val="32"/>
        </w:rPr>
        <w:t>IS系统已经记录的</w:t>
      </w:r>
      <w:r>
        <w:rPr>
          <w:rFonts w:hint="eastAsia" w:ascii="仿宋" w:hAnsi="仿宋" w:eastAsia="仿宋"/>
          <w:sz w:val="32"/>
          <w:szCs w:val="32"/>
        </w:rPr>
        <w:t>，</w:t>
      </w:r>
      <w:r>
        <w:rPr>
          <w:rFonts w:ascii="仿宋" w:hAnsi="仿宋" w:eastAsia="仿宋"/>
          <w:sz w:val="32"/>
          <w:szCs w:val="32"/>
        </w:rPr>
        <w:t>申请人可不再重复提供</w:t>
      </w:r>
      <w:r>
        <w:rPr>
          <w:rFonts w:hint="eastAsia" w:ascii="仿宋" w:hAnsi="仿宋" w:eastAsia="仿宋"/>
          <w:sz w:val="32"/>
          <w:szCs w:val="32"/>
        </w:rPr>
        <w:t>。</w:t>
      </w:r>
    </w:p>
    <w:p>
      <w:pPr>
        <w:ind w:firstLine="480" w:firstLineChars="200"/>
        <w:rPr>
          <w:rFonts w:hint="eastAsia" w:ascii="宋体" w:hAnsi="宋体"/>
          <w:sz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C0312"/>
    <w:rsid w:val="1F9E3922"/>
    <w:rsid w:val="22F43286"/>
    <w:rsid w:val="42A21605"/>
    <w:rsid w:val="4F6974F0"/>
    <w:rsid w:val="799B4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紫凝1421131379</cp:lastModifiedBy>
  <dcterms:modified xsi:type="dcterms:W3CDTF">2018-11-02T02:45:43Z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