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0" w:firstLineChars="0"/>
        <w:jc w:val="both"/>
        <w:rPr>
          <w:rFonts w:hint="eastAsia" w:asciiTheme="majorEastAsia" w:hAnsiTheme="majorEastAsia" w:eastAsiaTheme="majorEastAsia"/>
          <w:b/>
          <w:bCs/>
          <w:sz w:val="32"/>
          <w:szCs w:val="32"/>
        </w:rPr>
      </w:pPr>
    </w:p>
    <w:p>
      <w:pPr>
        <w:snapToGrid w:val="0"/>
        <w:spacing w:line="240" w:lineRule="auto"/>
        <w:ind w:firstLine="0" w:firstLineChars="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山东省肿瘤防治研究院</w:t>
      </w:r>
    </w:p>
    <w:p>
      <w:pPr>
        <w:snapToGrid w:val="0"/>
        <w:spacing w:line="240" w:lineRule="auto"/>
        <w:ind w:firstLine="0" w:firstLineChars="0"/>
        <w:jc w:val="center"/>
        <w:rPr>
          <w:rFonts w:hint="eastAsia" w:asciiTheme="majorEastAsia" w:hAnsiTheme="majorEastAsia" w:eastAsiaTheme="majorEastAsia"/>
          <w:b/>
          <w:bCs/>
          <w:sz w:val="32"/>
          <w:szCs w:val="32"/>
          <w:lang w:eastAsia="zh-CN"/>
        </w:rPr>
      </w:pPr>
      <w:r>
        <w:rPr>
          <w:rFonts w:hint="eastAsia" w:asciiTheme="majorEastAsia" w:hAnsiTheme="majorEastAsia" w:eastAsiaTheme="majorEastAsia"/>
          <w:b/>
          <w:bCs/>
          <w:sz w:val="32"/>
          <w:szCs w:val="32"/>
        </w:rPr>
        <w:t>后装治疗机应用项目竣工环境保护验收组意见</w:t>
      </w:r>
    </w:p>
    <w:p>
      <w:pPr>
        <w:pStyle w:val="5"/>
        <w:snapToGrid w:val="0"/>
        <w:spacing w:before="332" w:beforeLines="100" w:line="360" w:lineRule="auto"/>
        <w:ind w:firstLine="560"/>
        <w:rPr>
          <w:rFonts w:ascii="仿宋" w:hAnsi="仿宋" w:eastAsia="仿宋"/>
          <w:bCs/>
          <w:sz w:val="28"/>
          <w:szCs w:val="28"/>
        </w:rPr>
      </w:pPr>
      <w:r>
        <w:rPr>
          <w:rFonts w:hint="eastAsia" w:ascii="仿宋" w:hAnsi="仿宋" w:eastAsia="仿宋"/>
          <w:bCs/>
          <w:sz w:val="28"/>
          <w:szCs w:val="28"/>
        </w:rPr>
        <w:t>2020年0</w:t>
      </w:r>
      <w:r>
        <w:rPr>
          <w:rFonts w:ascii="仿宋" w:hAnsi="仿宋" w:eastAsia="仿宋"/>
          <w:bCs/>
          <w:sz w:val="28"/>
          <w:szCs w:val="28"/>
        </w:rPr>
        <w:t>9</w:t>
      </w:r>
      <w:r>
        <w:rPr>
          <w:rFonts w:hint="eastAsia" w:ascii="仿宋" w:hAnsi="仿宋" w:eastAsia="仿宋"/>
          <w:bCs/>
          <w:sz w:val="28"/>
          <w:szCs w:val="28"/>
        </w:rPr>
        <w:t>月2</w:t>
      </w:r>
      <w:r>
        <w:rPr>
          <w:rFonts w:ascii="仿宋" w:hAnsi="仿宋" w:eastAsia="仿宋"/>
          <w:bCs/>
          <w:sz w:val="28"/>
          <w:szCs w:val="28"/>
        </w:rPr>
        <w:t>7</w:t>
      </w:r>
      <w:r>
        <w:rPr>
          <w:rFonts w:hint="eastAsia" w:ascii="仿宋" w:hAnsi="仿宋" w:eastAsia="仿宋"/>
          <w:bCs/>
          <w:sz w:val="28"/>
          <w:szCs w:val="28"/>
        </w:rPr>
        <w:t>日，山东省肿瘤防治研究院在济南市组织召开了后装治疗机应用项目竣工环境保护验收工作组会议。参加会议的有验收监测表编制单位山东鲁环检测科技有限公司的代表，并邀请两位专业技术专家，组成验收工作组(名单附后)。会议期间，山东省肿瘤防治研究院汇报了本项目的建设及管理情况，山东鲁环检测科技有限公司汇报了项目竣工环境保护验收监测报告，经现场检查，审阅资料和认真讨论，形成验收意见如下：</w:t>
      </w:r>
    </w:p>
    <w:p>
      <w:pPr>
        <w:numPr>
          <w:ilvl w:val="0"/>
          <w:numId w:val="1"/>
        </w:numPr>
        <w:snapToGrid w:val="0"/>
        <w:spacing w:line="360" w:lineRule="auto"/>
        <w:ind w:firstLine="562"/>
        <w:jc w:val="left"/>
        <w:rPr>
          <w:rFonts w:ascii="仿宋" w:hAnsi="仿宋" w:eastAsia="仿宋"/>
          <w:b/>
          <w:bCs/>
          <w:sz w:val="28"/>
          <w:szCs w:val="28"/>
        </w:rPr>
      </w:pPr>
      <w:r>
        <w:rPr>
          <w:rFonts w:hint="eastAsia" w:ascii="仿宋" w:hAnsi="仿宋" w:eastAsia="仿宋"/>
          <w:b/>
          <w:bCs/>
          <w:sz w:val="28"/>
          <w:szCs w:val="28"/>
        </w:rPr>
        <w:t>项目基本情况</w:t>
      </w:r>
    </w:p>
    <w:p>
      <w:pPr>
        <w:pStyle w:val="5"/>
        <w:snapToGrid w:val="0"/>
        <w:spacing w:line="360" w:lineRule="auto"/>
        <w:ind w:firstLine="560"/>
        <w:rPr>
          <w:rFonts w:ascii="仿宋" w:hAnsi="仿宋" w:eastAsia="仿宋"/>
          <w:bCs/>
          <w:sz w:val="28"/>
          <w:szCs w:val="28"/>
        </w:rPr>
      </w:pPr>
      <w:r>
        <w:rPr>
          <w:rFonts w:hint="eastAsia" w:ascii="仿宋" w:hAnsi="仿宋" w:eastAsia="仿宋"/>
          <w:bCs/>
          <w:sz w:val="28"/>
          <w:szCs w:val="28"/>
        </w:rPr>
        <w:t>山东省肿瘤防治研究院位于济南市槐荫区济兖路440号，本项目位于山东省济南市槐荫区济兖路440号山东省肿瘤防治研究院放疗中心。</w:t>
      </w:r>
      <w:r>
        <w:rPr>
          <w:rFonts w:ascii="仿宋" w:hAnsi="仿宋" w:eastAsia="仿宋"/>
          <w:bCs/>
          <w:sz w:val="28"/>
          <w:szCs w:val="28"/>
        </w:rPr>
        <w:t>后装机工作场所主要由后装治疗机房、</w:t>
      </w:r>
      <w:r>
        <w:rPr>
          <w:rFonts w:hint="eastAsia" w:ascii="仿宋" w:hAnsi="仿宋" w:eastAsia="仿宋"/>
          <w:bCs/>
          <w:sz w:val="28"/>
          <w:szCs w:val="28"/>
          <w:lang w:eastAsia="zh-CN"/>
        </w:rPr>
        <w:t>迷路、</w:t>
      </w:r>
      <w:r>
        <w:rPr>
          <w:rFonts w:ascii="仿宋" w:hAnsi="仿宋" w:eastAsia="仿宋"/>
          <w:bCs/>
          <w:sz w:val="28"/>
          <w:szCs w:val="28"/>
        </w:rPr>
        <w:t>控制室等组成，本项目治疗准备室依托现有后装机治疗准备室，模拟定位机依托机房东侧模拟定位机。</w:t>
      </w:r>
      <w:r>
        <w:rPr>
          <w:rFonts w:hint="eastAsia" w:ascii="仿宋" w:hAnsi="仿宋" w:eastAsia="仿宋"/>
          <w:bCs/>
          <w:sz w:val="28"/>
          <w:szCs w:val="28"/>
        </w:rPr>
        <w:t>后装治疗机房位于放疗中心二楼北部，该放疗中心为地上3层建筑（部分地上3层，后装治疗区为2层建筑），无地下建筑，其北面为道路及医院绿化，南面为道路，道路南侧为陪护住宿区，西面为道路及医院绿化，东面为道路，道路东面为核医学科。本次验收项目为1台后装治疗机（内含1枚</w:t>
      </w:r>
      <w:r>
        <w:rPr>
          <w:rFonts w:hint="eastAsia" w:ascii="仿宋" w:hAnsi="仿宋" w:eastAsia="仿宋"/>
          <w:bCs/>
          <w:sz w:val="28"/>
          <w:szCs w:val="28"/>
          <w:vertAlign w:val="superscript"/>
        </w:rPr>
        <w:t>192</w:t>
      </w:r>
      <w:r>
        <w:rPr>
          <w:rFonts w:hint="eastAsia" w:ascii="仿宋" w:hAnsi="仿宋" w:eastAsia="仿宋"/>
          <w:bCs/>
          <w:sz w:val="28"/>
          <w:szCs w:val="28"/>
        </w:rPr>
        <w:t>Ir放射源，活度3.7×10</w:t>
      </w:r>
      <w:r>
        <w:rPr>
          <w:rFonts w:hint="eastAsia" w:ascii="仿宋" w:hAnsi="仿宋" w:eastAsia="仿宋"/>
          <w:bCs/>
          <w:sz w:val="28"/>
          <w:szCs w:val="28"/>
          <w:vertAlign w:val="superscript"/>
        </w:rPr>
        <w:t>11</w:t>
      </w:r>
      <w:r>
        <w:rPr>
          <w:rFonts w:hint="eastAsia" w:ascii="仿宋" w:hAnsi="仿宋" w:eastAsia="仿宋"/>
          <w:bCs/>
          <w:sz w:val="28"/>
          <w:szCs w:val="28"/>
        </w:rPr>
        <w:t>Bq）。</w:t>
      </w:r>
    </w:p>
    <w:p>
      <w:pPr>
        <w:pStyle w:val="5"/>
        <w:snapToGrid w:val="0"/>
        <w:spacing w:line="360" w:lineRule="auto"/>
        <w:ind w:firstLine="56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sz w:val="28"/>
          <w:szCs w:val="28"/>
        </w:rPr>
        <w:t>20</w:t>
      </w:r>
      <w:r>
        <w:rPr>
          <w:rFonts w:ascii="仿宋" w:hAnsi="仿宋" w:eastAsia="仿宋"/>
          <w:bCs/>
          <w:sz w:val="28"/>
          <w:szCs w:val="28"/>
        </w:rPr>
        <w:t>20</w:t>
      </w:r>
      <w:r>
        <w:rPr>
          <w:rFonts w:hint="eastAsia" w:ascii="仿宋" w:hAnsi="仿宋" w:eastAsia="仿宋"/>
          <w:bCs/>
          <w:sz w:val="28"/>
          <w:szCs w:val="28"/>
        </w:rPr>
        <w:t>年</w:t>
      </w:r>
      <w:r>
        <w:rPr>
          <w:rFonts w:ascii="仿宋" w:hAnsi="仿宋" w:eastAsia="仿宋"/>
          <w:bCs/>
          <w:sz w:val="28"/>
          <w:szCs w:val="28"/>
        </w:rPr>
        <w:t>9</w:t>
      </w:r>
      <w:r>
        <w:rPr>
          <w:rFonts w:hint="eastAsia" w:ascii="仿宋" w:hAnsi="仿宋" w:eastAsia="仿宋"/>
          <w:bCs/>
          <w:sz w:val="28"/>
          <w:szCs w:val="28"/>
        </w:rPr>
        <w:t>月</w:t>
      </w:r>
      <w:r>
        <w:rPr>
          <w:rFonts w:ascii="仿宋" w:hAnsi="仿宋" w:eastAsia="仿宋"/>
          <w:bCs/>
          <w:sz w:val="28"/>
          <w:szCs w:val="28"/>
        </w:rPr>
        <w:t>8</w:t>
      </w:r>
      <w:r>
        <w:rPr>
          <w:rFonts w:hint="eastAsia" w:ascii="仿宋" w:hAnsi="仿宋" w:eastAsia="仿宋"/>
          <w:bCs/>
          <w:sz w:val="28"/>
          <w:szCs w:val="28"/>
        </w:rPr>
        <w:t>日，济南市生态环境局以济环辐表审[2020]</w:t>
      </w:r>
      <w:r>
        <w:rPr>
          <w:rFonts w:ascii="仿宋" w:hAnsi="仿宋" w:eastAsia="仿宋"/>
          <w:bCs/>
          <w:sz w:val="28"/>
          <w:szCs w:val="28"/>
        </w:rPr>
        <w:t>4</w:t>
      </w:r>
      <w:r>
        <w:rPr>
          <w:rFonts w:hint="eastAsia" w:ascii="仿宋" w:hAnsi="仿宋" w:eastAsia="仿宋"/>
          <w:bCs/>
          <w:sz w:val="28"/>
          <w:szCs w:val="28"/>
        </w:rPr>
        <w:t>7号批复了《山东省肿瘤防治研究院射波刀及后装治疗机应用项目环境影响报告表》。</w:t>
      </w:r>
      <w:r>
        <w:rPr>
          <w:rFonts w:hint="eastAsia" w:ascii="仿宋" w:hAnsi="仿宋" w:eastAsia="仿宋"/>
          <w:bCs/>
          <w:color w:val="000000" w:themeColor="text1"/>
          <w:sz w:val="28"/>
          <w:szCs w:val="28"/>
          <w14:textFill>
            <w14:solidFill>
              <w14:schemeClr w14:val="tx1"/>
            </w14:solidFill>
          </w14:textFill>
        </w:rPr>
        <w:t>该医院已于2020年5月28日延续了山东省生态环境厅颁发的《辐射安全许可证》（有效期至2023年11月15日，证书编号为鲁环辐证[01066]，许可种类和范围为</w:t>
      </w:r>
    </w:p>
    <w:p>
      <w:pPr>
        <w:pStyle w:val="5"/>
        <w:snapToGrid w:val="0"/>
        <w:spacing w:line="360" w:lineRule="auto"/>
        <w:ind w:left="0" w:leftChars="0" w:firstLine="0" w:firstLineChars="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“使用Ⅰ类、Ⅲ类、Ⅴ类放射源，使用Ⅱ类、III类射线装置，乙级非密封放射性物质工作场所”）。</w:t>
      </w:r>
    </w:p>
    <w:p>
      <w:pPr>
        <w:pStyle w:val="5"/>
        <w:snapToGrid w:val="0"/>
        <w:spacing w:line="360" w:lineRule="auto"/>
        <w:ind w:firstLine="560"/>
        <w:rPr>
          <w:rFonts w:ascii="仿宋" w:hAnsi="仿宋" w:eastAsia="仿宋"/>
          <w:bCs/>
          <w:sz w:val="28"/>
          <w:szCs w:val="28"/>
        </w:rPr>
      </w:pPr>
      <w:r>
        <w:rPr>
          <w:rFonts w:hint="eastAsia" w:ascii="仿宋" w:hAnsi="仿宋" w:eastAsia="仿宋"/>
          <w:bCs/>
          <w:color w:val="000000" w:themeColor="text1"/>
          <w:sz w:val="28"/>
          <w:szCs w:val="28"/>
          <w14:textFill>
            <w14:solidFill>
              <w14:schemeClr w14:val="tx1"/>
            </w14:solidFill>
          </w14:textFill>
        </w:rPr>
        <w:t>本次验收规模与</w:t>
      </w:r>
      <w:r>
        <w:rPr>
          <w:rFonts w:hint="eastAsia" w:ascii="仿宋" w:hAnsi="仿宋" w:eastAsia="仿宋"/>
          <w:bCs/>
          <w:sz w:val="28"/>
          <w:szCs w:val="28"/>
        </w:rPr>
        <w:t>环评及批复基本一致</w:t>
      </w:r>
      <w:r>
        <w:rPr>
          <w:rFonts w:hint="eastAsia" w:ascii="仿宋" w:hAnsi="仿宋" w:eastAsia="仿宋"/>
          <w:bCs/>
          <w:color w:val="000000" w:themeColor="text1"/>
          <w:sz w:val="28"/>
          <w:szCs w:val="28"/>
          <w14:textFill>
            <w14:solidFill>
              <w14:schemeClr w14:val="tx1"/>
            </w14:solidFill>
          </w14:textFill>
        </w:rPr>
        <w:t>。</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二、环保设施及辐射安全防护措施</w:t>
      </w:r>
    </w:p>
    <w:p>
      <w:pPr>
        <w:pStyle w:val="5"/>
        <w:snapToGrid w:val="0"/>
        <w:spacing w:line="360" w:lineRule="auto"/>
        <w:ind w:firstLine="560"/>
        <w:rPr>
          <w:rFonts w:hint="eastAsia" w:ascii="仿宋" w:hAnsi="仿宋" w:eastAsia="仿宋"/>
          <w:bCs/>
          <w:sz w:val="28"/>
          <w:szCs w:val="28"/>
          <w:lang w:eastAsia="zh-CN"/>
        </w:rPr>
      </w:pPr>
      <w:r>
        <w:rPr>
          <w:rFonts w:hint="eastAsia" w:ascii="仿宋" w:hAnsi="仿宋" w:eastAsia="仿宋"/>
          <w:bCs/>
          <w:sz w:val="28"/>
          <w:szCs w:val="28"/>
        </w:rPr>
        <w:t>1.</w:t>
      </w:r>
      <w:r>
        <w:rPr>
          <w:rFonts w:hint="eastAsia"/>
        </w:rPr>
        <w:t xml:space="preserve"> </w:t>
      </w:r>
      <w:r>
        <w:rPr>
          <w:rFonts w:hint="eastAsia" w:ascii="仿宋" w:hAnsi="仿宋" w:eastAsia="仿宋"/>
          <w:bCs/>
          <w:color w:val="000000" w:themeColor="text1"/>
          <w:sz w:val="28"/>
          <w:szCs w:val="28"/>
          <w14:textFill>
            <w14:solidFill>
              <w14:schemeClr w14:val="tx1"/>
            </w14:solidFill>
          </w14:textFill>
        </w:rPr>
        <w:t>后装</w:t>
      </w:r>
      <w:r>
        <w:rPr>
          <w:rFonts w:hint="eastAsia" w:ascii="仿宋" w:hAnsi="仿宋" w:eastAsia="仿宋"/>
          <w:bCs/>
          <w:color w:val="000000" w:themeColor="text1"/>
          <w:sz w:val="28"/>
          <w:szCs w:val="28"/>
          <w:lang w:eastAsia="zh-CN"/>
          <w14:textFill>
            <w14:solidFill>
              <w14:schemeClr w14:val="tx1"/>
            </w14:solidFill>
          </w14:textFill>
        </w:rPr>
        <w:t>治疗</w:t>
      </w:r>
      <w:r>
        <w:rPr>
          <w:rFonts w:hint="eastAsia" w:ascii="仿宋" w:hAnsi="仿宋" w:eastAsia="仿宋"/>
          <w:bCs/>
          <w:color w:val="000000" w:themeColor="text1"/>
          <w:sz w:val="28"/>
          <w:szCs w:val="28"/>
          <w14:textFill>
            <w14:solidFill>
              <w14:schemeClr w14:val="tx1"/>
            </w14:solidFill>
          </w14:textFill>
        </w:rPr>
        <w:t>机</w:t>
      </w:r>
      <w:r>
        <w:rPr>
          <w:rFonts w:hint="eastAsia" w:ascii="仿宋" w:hAnsi="仿宋" w:eastAsia="仿宋"/>
          <w:bCs/>
          <w:color w:val="000000" w:themeColor="text1"/>
          <w:sz w:val="28"/>
          <w:szCs w:val="28"/>
          <w:lang w:eastAsia="zh-CN"/>
          <w14:textFill>
            <w14:solidFill>
              <w14:schemeClr w14:val="tx1"/>
            </w14:solidFill>
          </w14:textFill>
        </w:rPr>
        <w:t>及机房屏蔽措施</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sz w:val="28"/>
          <w:szCs w:val="28"/>
          <w:vertAlign w:val="superscript"/>
        </w:rPr>
        <w:t>192</w:t>
      </w:r>
      <w:r>
        <w:rPr>
          <w:rFonts w:hint="eastAsia" w:ascii="仿宋" w:hAnsi="仿宋" w:eastAsia="仿宋"/>
          <w:bCs/>
          <w:sz w:val="28"/>
          <w:szCs w:val="28"/>
        </w:rPr>
        <w:t>Ir后装机具有良好的自屏蔽措施，</w:t>
      </w:r>
      <w:r>
        <w:rPr>
          <w:rFonts w:hint="eastAsia" w:ascii="仿宋" w:hAnsi="仿宋" w:eastAsia="仿宋"/>
          <w:bCs/>
          <w:sz w:val="28"/>
          <w:szCs w:val="28"/>
          <w:vertAlign w:val="superscript"/>
        </w:rPr>
        <w:t>192</w:t>
      </w:r>
      <w:r>
        <w:rPr>
          <w:rFonts w:hint="eastAsia" w:ascii="仿宋" w:hAnsi="仿宋" w:eastAsia="仿宋"/>
          <w:bCs/>
          <w:sz w:val="28"/>
          <w:szCs w:val="28"/>
        </w:rPr>
        <w:t>Ir放射源装于机头源罐内，源罐由外而内分别为不锈钢外壳、铅防护、钨合金防护，防护性能良好。</w:t>
      </w:r>
      <w:r>
        <w:rPr>
          <w:rFonts w:hint="eastAsia" w:ascii="仿宋" w:hAnsi="仿宋" w:eastAsia="仿宋"/>
          <w:bCs/>
          <w:sz w:val="28"/>
          <w:szCs w:val="28"/>
          <w:lang w:eastAsia="zh-CN"/>
        </w:rPr>
        <w:t>后装治疗机房采用混凝土灌注，屏蔽厚度符合国家标准。</w:t>
      </w:r>
    </w:p>
    <w:p>
      <w:pPr>
        <w:snapToGrid w:val="0"/>
        <w:spacing w:line="360" w:lineRule="auto"/>
        <w:ind w:firstLine="560"/>
        <w:rPr>
          <w:rFonts w:ascii="仿宋" w:hAnsi="仿宋" w:eastAsia="仿宋" w:cs="Courier New"/>
          <w:bCs/>
          <w:sz w:val="28"/>
          <w:szCs w:val="28"/>
        </w:rPr>
      </w:pPr>
      <w:r>
        <w:rPr>
          <w:rFonts w:ascii="仿宋" w:hAnsi="仿宋" w:eastAsia="仿宋"/>
          <w:bCs/>
          <w:sz w:val="28"/>
          <w:szCs w:val="28"/>
        </w:rPr>
        <w:t>2</w:t>
      </w:r>
      <w:r>
        <w:rPr>
          <w:rFonts w:hint="eastAsia" w:ascii="仿宋" w:hAnsi="仿宋" w:eastAsia="仿宋"/>
          <w:bCs/>
          <w:sz w:val="28"/>
          <w:szCs w:val="28"/>
        </w:rPr>
        <w:t>.</w:t>
      </w:r>
      <w:r>
        <w:rPr>
          <w:rFonts w:hint="eastAsia"/>
        </w:rPr>
        <w:t xml:space="preserve"> </w:t>
      </w:r>
      <w:r>
        <w:rPr>
          <w:rFonts w:hint="eastAsia" w:ascii="仿宋" w:hAnsi="仿宋" w:eastAsia="仿宋" w:cs="Courier New"/>
          <w:bCs/>
          <w:sz w:val="28"/>
          <w:szCs w:val="28"/>
        </w:rPr>
        <w:t>医院签订了辐射安全责任书，医院法人于金明为医院辐射工作安全责任人，制定专人刘娟娟负责放射性同位素与射线装置的安全和防护工作；制定了《放射性工作人员个人剂量管理制度》、《放射防护安全巡检制度》、《安全防护设施定期检查维护制度》、《放射防护管理制度》、《山东省肿瘤医院人员培训计划》、《仪器设备使用和管理制度》、《后装治疗区工作人员职责》、《后装治疗区工作制度》等辐射防护管理制度</w:t>
      </w:r>
      <w:r>
        <w:rPr>
          <w:rFonts w:ascii="仿宋" w:hAnsi="仿宋" w:eastAsia="仿宋" w:cs="Courier New"/>
          <w:bCs/>
          <w:sz w:val="28"/>
          <w:szCs w:val="28"/>
        </w:rPr>
        <w:t>，建立了辐射安全管理档案；编制了</w:t>
      </w:r>
      <w:r>
        <w:rPr>
          <w:rFonts w:hint="eastAsia" w:ascii="仿宋" w:hAnsi="仿宋" w:eastAsia="仿宋"/>
          <w:bCs/>
          <w:sz w:val="28"/>
          <w:szCs w:val="28"/>
        </w:rPr>
        <w:t>《山东省肿瘤防治研究院放射性事故应急预案》，</w:t>
      </w:r>
      <w:r>
        <w:rPr>
          <w:rFonts w:ascii="仿宋" w:hAnsi="仿宋" w:eastAsia="仿宋"/>
          <w:bCs/>
          <w:sz w:val="28"/>
          <w:szCs w:val="28"/>
        </w:rPr>
        <w:t>并进行了应急演练；</w:t>
      </w:r>
      <w:r>
        <w:rPr>
          <w:rFonts w:hint="eastAsia" w:ascii="仿宋" w:hAnsi="仿宋" w:eastAsia="仿宋"/>
          <w:bCs/>
          <w:sz w:val="28"/>
          <w:szCs w:val="28"/>
        </w:rPr>
        <w:t>编制了《山东省肿瘤防治研究院2019年放射性同位素与射线装置安全和防护状况评估报告》，已报送山东省生态环境厅、济南市生态环境局、济南市生态环境局槐荫分局。</w:t>
      </w:r>
    </w:p>
    <w:p>
      <w:pPr>
        <w:snapToGrid w:val="0"/>
        <w:spacing w:line="360" w:lineRule="auto"/>
        <w:ind w:firstLine="560"/>
        <w:rPr>
          <w:rFonts w:ascii="仿宋" w:hAnsi="仿宋" w:eastAsia="仿宋"/>
          <w:bCs/>
          <w:sz w:val="28"/>
          <w:szCs w:val="28"/>
        </w:rPr>
      </w:pPr>
      <w:r>
        <w:rPr>
          <w:rFonts w:hint="eastAsia" w:ascii="仿宋" w:hAnsi="仿宋" w:eastAsia="仿宋"/>
          <w:bCs/>
          <w:sz w:val="28"/>
          <w:szCs w:val="28"/>
          <w:lang w:val="en-US" w:eastAsia="zh-CN"/>
        </w:rPr>
        <w:t>3</w:t>
      </w:r>
      <w:r>
        <w:rPr>
          <w:rFonts w:hint="eastAsia" w:ascii="仿宋" w:hAnsi="仿宋" w:eastAsia="仿宋"/>
          <w:bCs/>
          <w:sz w:val="28"/>
          <w:szCs w:val="28"/>
        </w:rPr>
        <w:t>.</w:t>
      </w:r>
      <w:r>
        <w:rPr>
          <w:rFonts w:hint="eastAsia"/>
        </w:rPr>
        <w:t xml:space="preserve"> </w:t>
      </w:r>
      <w:r>
        <w:rPr>
          <w:rFonts w:hint="eastAsia" w:ascii="仿宋" w:hAnsi="仿宋" w:eastAsia="仿宋"/>
          <w:bCs/>
          <w:sz w:val="28"/>
          <w:szCs w:val="28"/>
        </w:rPr>
        <w:t>该项目共有辐射工作人员1</w:t>
      </w:r>
      <w:r>
        <w:rPr>
          <w:rFonts w:ascii="仿宋" w:hAnsi="仿宋" w:eastAsia="仿宋"/>
          <w:bCs/>
          <w:sz w:val="28"/>
          <w:szCs w:val="28"/>
        </w:rPr>
        <w:t>0</w:t>
      </w:r>
      <w:r>
        <w:rPr>
          <w:rFonts w:hint="eastAsia" w:ascii="仿宋" w:hAnsi="仿宋" w:eastAsia="仿宋"/>
          <w:bCs/>
          <w:sz w:val="28"/>
          <w:szCs w:val="28"/>
        </w:rPr>
        <w:t>人，均已参加了初级辐射安全知识培训，并取得了初级辐射安全培训合格证书。辐射工作人员均配备了个人剂量计，进行了个人剂量监测，建立了个人剂量档案。</w:t>
      </w:r>
    </w:p>
    <w:p>
      <w:pPr>
        <w:snapToGrid w:val="0"/>
        <w:spacing w:line="360" w:lineRule="auto"/>
        <w:ind w:firstLine="560"/>
        <w:rPr>
          <w:rFonts w:hint="eastAsia" w:ascii="仿宋" w:hAnsi="仿宋" w:eastAsia="仿宋"/>
          <w:bCs/>
          <w:sz w:val="28"/>
          <w:szCs w:val="28"/>
        </w:rPr>
      </w:pPr>
      <w:r>
        <w:rPr>
          <w:rFonts w:hint="eastAsia" w:ascii="仿宋" w:hAnsi="仿宋" w:eastAsia="仿宋"/>
          <w:bCs/>
          <w:sz w:val="28"/>
          <w:szCs w:val="28"/>
          <w:lang w:val="en-US" w:eastAsia="zh-CN"/>
        </w:rPr>
        <w:t>4</w:t>
      </w:r>
      <w:r>
        <w:rPr>
          <w:rFonts w:ascii="仿宋" w:hAnsi="仿宋" w:eastAsia="仿宋"/>
          <w:bCs/>
          <w:sz w:val="28"/>
          <w:szCs w:val="28"/>
        </w:rPr>
        <w:t>.</w:t>
      </w:r>
      <w:r>
        <w:rPr>
          <w:rFonts w:hint="eastAsia" w:ascii="仿宋" w:hAnsi="仿宋" w:eastAsia="仿宋"/>
          <w:bCs/>
          <w:sz w:val="28"/>
          <w:szCs w:val="28"/>
        </w:rPr>
        <w:t xml:space="preserve"> 个人剂量监测结果表明,10名辐射工作人员年有效累积剂量低于《电</w:t>
      </w:r>
    </w:p>
    <w:p>
      <w:pPr>
        <w:snapToGrid w:val="0"/>
        <w:spacing w:line="360" w:lineRule="auto"/>
        <w:ind w:left="0" w:leftChars="0" w:firstLine="0" w:firstLineChars="0"/>
        <w:rPr>
          <w:rFonts w:ascii="仿宋" w:hAnsi="仿宋" w:eastAsia="仿宋"/>
          <w:bCs/>
          <w:sz w:val="28"/>
          <w:szCs w:val="28"/>
        </w:rPr>
      </w:pPr>
      <w:r>
        <w:rPr>
          <w:rFonts w:hint="eastAsia" w:ascii="仿宋" w:hAnsi="仿宋" w:eastAsia="仿宋"/>
          <w:bCs/>
          <w:sz w:val="28"/>
          <w:szCs w:val="28"/>
        </w:rPr>
        <w:t>离辐射防护与辐射源安全基本标准》(GB18871-2002)中规定职业人员的管理约束值2mSv/a，也低于《电离辐射防护与辐射源安全基本标准》(GB18871-2002)中规定职业人员的剂量限值20mSv/a，也低于环评报告提出的5mSv/a的年管理剂量约束值。经估算，公众年有效剂量低于《电离辐射防护与辐射源安全基本标准》(GB18871-2002)中规定公众剂量限值1mSv/a，也低于环评中提出的0.</w:t>
      </w:r>
      <w:r>
        <w:rPr>
          <w:rFonts w:ascii="仿宋" w:hAnsi="仿宋" w:eastAsia="仿宋"/>
          <w:bCs/>
          <w:sz w:val="28"/>
          <w:szCs w:val="28"/>
        </w:rPr>
        <w:t>25</w:t>
      </w:r>
      <w:r>
        <w:rPr>
          <w:rFonts w:hint="eastAsia" w:ascii="仿宋" w:hAnsi="仿宋" w:eastAsia="仿宋"/>
          <w:bCs/>
          <w:sz w:val="28"/>
          <w:szCs w:val="28"/>
        </w:rPr>
        <w:t>mSv/a的管理约束值。</w:t>
      </w:r>
    </w:p>
    <w:p>
      <w:pPr>
        <w:snapToGrid w:val="0"/>
        <w:spacing w:line="360" w:lineRule="auto"/>
        <w:ind w:firstLine="560"/>
        <w:rPr>
          <w:rFonts w:ascii="仿宋" w:hAnsi="仿宋" w:eastAsia="仿宋"/>
          <w:bCs/>
          <w:sz w:val="28"/>
          <w:szCs w:val="28"/>
        </w:rPr>
      </w:pPr>
      <w:r>
        <w:rPr>
          <w:rFonts w:hint="eastAsia" w:ascii="仿宋" w:hAnsi="仿宋" w:eastAsia="仿宋"/>
          <w:bCs/>
          <w:sz w:val="28"/>
          <w:szCs w:val="28"/>
          <w:lang w:val="en-US" w:eastAsia="zh-CN"/>
        </w:rPr>
        <w:t>5</w:t>
      </w:r>
      <w:r>
        <w:rPr>
          <w:rFonts w:ascii="仿宋" w:hAnsi="仿宋" w:eastAsia="仿宋"/>
          <w:bCs/>
          <w:sz w:val="28"/>
          <w:szCs w:val="28"/>
        </w:rPr>
        <w:t>.</w:t>
      </w:r>
      <w:r>
        <w:rPr>
          <w:rFonts w:hint="eastAsia" w:ascii="仿宋" w:hAnsi="仿宋" w:eastAsia="仿宋"/>
          <w:bCs/>
          <w:sz w:val="28"/>
          <w:szCs w:val="28"/>
        </w:rPr>
        <w:t>设置</w:t>
      </w:r>
      <w:r>
        <w:rPr>
          <w:rFonts w:ascii="仿宋" w:hAnsi="仿宋" w:eastAsia="仿宋"/>
          <w:bCs/>
          <w:sz w:val="28"/>
          <w:szCs w:val="28"/>
        </w:rPr>
        <w:t>电离辐射警告标志、工作状态指示灯、对讲系统、监控系统</w:t>
      </w:r>
      <w:r>
        <w:rPr>
          <w:rFonts w:hint="eastAsia" w:ascii="仿宋" w:hAnsi="仿宋" w:eastAsia="仿宋"/>
          <w:bCs/>
          <w:sz w:val="28"/>
          <w:szCs w:val="28"/>
        </w:rPr>
        <w:t>、</w:t>
      </w:r>
      <w:r>
        <w:rPr>
          <w:rFonts w:ascii="仿宋" w:hAnsi="仿宋" w:eastAsia="仿宋"/>
          <w:bCs/>
          <w:sz w:val="28"/>
          <w:szCs w:val="28"/>
        </w:rPr>
        <w:t>门</w:t>
      </w:r>
      <w:r>
        <w:rPr>
          <w:rFonts w:hint="eastAsia" w:ascii="仿宋" w:hAnsi="仿宋" w:eastAsia="仿宋"/>
          <w:bCs/>
          <w:sz w:val="28"/>
          <w:szCs w:val="28"/>
        </w:rPr>
        <w:t>机</w:t>
      </w:r>
      <w:r>
        <w:rPr>
          <w:rFonts w:ascii="仿宋" w:hAnsi="仿宋" w:eastAsia="仿宋"/>
          <w:bCs/>
          <w:sz w:val="28"/>
          <w:szCs w:val="28"/>
        </w:rPr>
        <w:t>连锁装置和急停按钮。配备</w:t>
      </w:r>
      <w:r>
        <w:rPr>
          <w:rFonts w:hint="eastAsia" w:ascii="仿宋" w:hAnsi="仿宋" w:eastAsia="仿宋"/>
          <w:bCs/>
          <w:sz w:val="28"/>
          <w:szCs w:val="28"/>
        </w:rPr>
        <w:t>1台环境级X-γ剂量率仪和</w:t>
      </w:r>
      <w:r>
        <w:rPr>
          <w:rFonts w:hint="eastAsia" w:ascii="仿宋" w:hAnsi="仿宋" w:eastAsia="仿宋"/>
          <w:bCs/>
          <w:sz w:val="28"/>
          <w:szCs w:val="28"/>
          <w:lang w:val="en-US" w:eastAsia="zh-CN"/>
        </w:rPr>
        <w:t>2</w:t>
      </w:r>
      <w:r>
        <w:rPr>
          <w:rFonts w:hint="eastAsia" w:ascii="仿宋" w:hAnsi="仿宋" w:eastAsia="仿宋"/>
          <w:bCs/>
          <w:sz w:val="28"/>
          <w:szCs w:val="28"/>
        </w:rPr>
        <w:t>台</w:t>
      </w:r>
      <w:r>
        <w:rPr>
          <w:rFonts w:hint="eastAsia" w:ascii="仿宋" w:hAnsi="仿宋" w:eastAsia="仿宋"/>
          <w:bCs/>
          <w:sz w:val="28"/>
          <w:szCs w:val="28"/>
          <w:lang w:eastAsia="zh-CN"/>
        </w:rPr>
        <w:t>个人剂量报警仪</w:t>
      </w:r>
      <w:r>
        <w:rPr>
          <w:rFonts w:hint="eastAsia" w:ascii="仿宋" w:hAnsi="仿宋" w:eastAsia="仿宋"/>
          <w:bCs/>
          <w:sz w:val="28"/>
          <w:szCs w:val="28"/>
        </w:rPr>
        <w:t>仪</w:t>
      </w:r>
      <w:r>
        <w:rPr>
          <w:rFonts w:hint="eastAsia" w:ascii="仿宋" w:hAnsi="仿宋" w:eastAsia="仿宋"/>
          <w:bCs/>
          <w:sz w:val="28"/>
          <w:szCs w:val="28"/>
          <w:lang w:eastAsia="zh-CN"/>
        </w:rPr>
        <w:t>及固定式的剂量监测仪器</w:t>
      </w:r>
      <w:r>
        <w:rPr>
          <w:rFonts w:hint="eastAsia" w:ascii="仿宋" w:hAnsi="仿宋" w:eastAsia="仿宋"/>
          <w:bCs/>
          <w:sz w:val="28"/>
          <w:szCs w:val="28"/>
        </w:rPr>
        <w:t>。</w:t>
      </w:r>
    </w:p>
    <w:p>
      <w:pPr>
        <w:snapToGrid w:val="0"/>
        <w:spacing w:line="360" w:lineRule="auto"/>
        <w:ind w:firstLine="560"/>
        <w:rPr>
          <w:rFonts w:ascii="仿宋" w:hAnsi="仿宋" w:eastAsia="仿宋"/>
          <w:bCs/>
          <w:sz w:val="28"/>
          <w:szCs w:val="28"/>
        </w:rPr>
      </w:pPr>
      <w:r>
        <w:rPr>
          <w:rFonts w:hint="eastAsia" w:ascii="仿宋" w:hAnsi="仿宋" w:eastAsia="仿宋"/>
          <w:bCs/>
          <w:sz w:val="28"/>
          <w:szCs w:val="28"/>
          <w:lang w:val="en-US" w:eastAsia="zh-CN"/>
        </w:rPr>
        <w:t>6</w:t>
      </w:r>
      <w:bookmarkStart w:id="0" w:name="_GoBack"/>
      <w:bookmarkEnd w:id="0"/>
      <w:r>
        <w:rPr>
          <w:rFonts w:ascii="仿宋" w:hAnsi="仿宋" w:eastAsia="仿宋"/>
          <w:bCs/>
          <w:sz w:val="28"/>
          <w:szCs w:val="28"/>
        </w:rPr>
        <w:t>.</w:t>
      </w:r>
      <w:r>
        <w:rPr>
          <w:rFonts w:hint="eastAsia" w:ascii="仿宋" w:hAnsi="仿宋" w:eastAsia="仿宋"/>
          <w:bCs/>
          <w:sz w:val="28"/>
          <w:szCs w:val="28"/>
        </w:rPr>
        <w:t>该医院配备了与辐射类型和辐射水平相适应的防护用品和</w:t>
      </w:r>
      <w:r>
        <w:rPr>
          <w:rFonts w:hint="eastAsia" w:ascii="仿宋" w:hAnsi="仿宋" w:eastAsia="仿宋"/>
          <w:bCs/>
          <w:sz w:val="28"/>
          <w:szCs w:val="28"/>
          <w:lang w:eastAsia="zh-CN"/>
        </w:rPr>
        <w:t>辅助防护设施</w:t>
      </w:r>
      <w:r>
        <w:rPr>
          <w:rFonts w:hint="eastAsia" w:ascii="仿宋" w:hAnsi="仿宋" w:eastAsia="仿宋"/>
          <w:bCs/>
          <w:sz w:val="28"/>
          <w:szCs w:val="28"/>
        </w:rPr>
        <w:t>，包括铅罐</w:t>
      </w:r>
      <w:r>
        <w:rPr>
          <w:rFonts w:hint="eastAsia" w:ascii="仿宋" w:hAnsi="仿宋" w:eastAsia="仿宋"/>
          <w:bCs/>
          <w:sz w:val="28"/>
          <w:szCs w:val="28"/>
          <w:lang w:eastAsia="zh-CN"/>
        </w:rPr>
        <w:t>、</w:t>
      </w:r>
      <w:r>
        <w:rPr>
          <w:rFonts w:hint="eastAsia" w:ascii="仿宋" w:hAnsi="仿宋" w:eastAsia="仿宋"/>
          <w:bCs/>
          <w:sz w:val="28"/>
          <w:szCs w:val="28"/>
        </w:rPr>
        <w:t>长柄镊子</w:t>
      </w:r>
      <w:r>
        <w:rPr>
          <w:rFonts w:hint="eastAsia" w:ascii="仿宋" w:hAnsi="仿宋" w:eastAsia="仿宋"/>
          <w:bCs/>
          <w:sz w:val="28"/>
          <w:szCs w:val="28"/>
          <w:lang w:eastAsia="zh-CN"/>
        </w:rPr>
        <w:t>等</w:t>
      </w:r>
      <w:r>
        <w:rPr>
          <w:rFonts w:hint="eastAsia" w:ascii="仿宋" w:hAnsi="仿宋" w:eastAsia="仿宋"/>
          <w:bCs/>
          <w:sz w:val="28"/>
          <w:szCs w:val="28"/>
        </w:rPr>
        <w:t>。</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三、验收监测结果</w:t>
      </w:r>
    </w:p>
    <w:p>
      <w:pPr>
        <w:snapToGrid w:val="0"/>
        <w:spacing w:line="360" w:lineRule="auto"/>
        <w:ind w:firstLine="560"/>
        <w:rPr>
          <w:rFonts w:ascii="仿宋" w:hAnsi="仿宋" w:eastAsia="仿宋"/>
          <w:bCs/>
          <w:sz w:val="28"/>
          <w:szCs w:val="28"/>
        </w:rPr>
      </w:pPr>
      <w:r>
        <w:rPr>
          <w:rFonts w:hint="eastAsia" w:ascii="仿宋" w:hAnsi="仿宋" w:eastAsia="仿宋"/>
          <w:bCs/>
          <w:sz w:val="28"/>
          <w:szCs w:val="28"/>
        </w:rPr>
        <w:t>工作状态下，后装治疗机机房周围</w:t>
      </w:r>
      <w:r>
        <w:rPr>
          <w:rFonts w:ascii="仿宋" w:hAnsi="仿宋" w:eastAsia="仿宋"/>
          <w:bCs/>
          <w:sz w:val="28"/>
          <w:szCs w:val="28"/>
        </w:rPr>
        <w:t>X-γ</w:t>
      </w:r>
      <w:r>
        <w:rPr>
          <w:rFonts w:hint="eastAsia" w:ascii="仿宋" w:hAnsi="仿宋" w:eastAsia="仿宋"/>
          <w:bCs/>
          <w:sz w:val="28"/>
          <w:szCs w:val="28"/>
        </w:rPr>
        <w:t>空气吸收剂量率最大监测值为</w:t>
      </w:r>
      <w:r>
        <w:rPr>
          <w:rFonts w:ascii="仿宋" w:hAnsi="仿宋" w:eastAsia="仿宋"/>
          <w:bCs/>
          <w:sz w:val="28"/>
          <w:szCs w:val="28"/>
        </w:rPr>
        <w:t>278nSv/h</w:t>
      </w:r>
      <w:r>
        <w:rPr>
          <w:rFonts w:hint="eastAsia" w:ascii="仿宋" w:hAnsi="仿宋" w:eastAsia="仿宋"/>
          <w:bCs/>
          <w:sz w:val="28"/>
          <w:szCs w:val="28"/>
        </w:rPr>
        <w:t>（</w:t>
      </w:r>
      <w:r>
        <w:rPr>
          <w:rFonts w:ascii="仿宋" w:hAnsi="仿宋" w:eastAsia="仿宋"/>
          <w:bCs/>
          <w:sz w:val="28"/>
          <w:szCs w:val="28"/>
        </w:rPr>
        <w:t>0.278μSv/h</w:t>
      </w:r>
      <w:r>
        <w:rPr>
          <w:rFonts w:hint="eastAsia" w:ascii="仿宋" w:hAnsi="仿宋" w:eastAsia="仿宋"/>
          <w:bCs/>
          <w:sz w:val="28"/>
          <w:szCs w:val="28"/>
        </w:rPr>
        <w:t>），低于《放射治疗机房的辐射屏蔽规范</w:t>
      </w:r>
      <w:r>
        <w:rPr>
          <w:rFonts w:ascii="仿宋" w:hAnsi="仿宋" w:eastAsia="仿宋"/>
          <w:bCs/>
          <w:sz w:val="28"/>
          <w:szCs w:val="28"/>
        </w:rPr>
        <w:t xml:space="preserve">  </w:t>
      </w:r>
      <w:r>
        <w:rPr>
          <w:rFonts w:hint="eastAsia" w:ascii="仿宋" w:hAnsi="仿宋" w:eastAsia="仿宋"/>
          <w:bCs/>
          <w:sz w:val="28"/>
          <w:szCs w:val="28"/>
        </w:rPr>
        <w:t>第</w:t>
      </w:r>
      <w:r>
        <w:rPr>
          <w:rFonts w:ascii="仿宋" w:hAnsi="仿宋" w:eastAsia="仿宋"/>
          <w:bCs/>
          <w:sz w:val="28"/>
          <w:szCs w:val="28"/>
        </w:rPr>
        <w:t>1</w:t>
      </w:r>
      <w:r>
        <w:rPr>
          <w:rFonts w:hint="eastAsia" w:ascii="仿宋" w:hAnsi="仿宋" w:eastAsia="仿宋"/>
          <w:bCs/>
          <w:sz w:val="28"/>
          <w:szCs w:val="28"/>
        </w:rPr>
        <w:t>部分：一般原则》（</w:t>
      </w:r>
      <w:r>
        <w:rPr>
          <w:rFonts w:ascii="仿宋" w:hAnsi="仿宋" w:eastAsia="仿宋"/>
          <w:bCs/>
          <w:sz w:val="28"/>
          <w:szCs w:val="28"/>
        </w:rPr>
        <w:t>GBZ/T201.1-2007</w:t>
      </w:r>
      <w:r>
        <w:rPr>
          <w:rFonts w:hint="eastAsia" w:ascii="仿宋" w:hAnsi="仿宋" w:eastAsia="仿宋"/>
          <w:bCs/>
          <w:sz w:val="28"/>
          <w:szCs w:val="28"/>
        </w:rPr>
        <w:t>）中规定距治疗机房墙和入口门外表面</w:t>
      </w:r>
      <w:r>
        <w:rPr>
          <w:rFonts w:ascii="仿宋" w:hAnsi="仿宋" w:eastAsia="仿宋"/>
          <w:bCs/>
          <w:sz w:val="28"/>
          <w:szCs w:val="28"/>
        </w:rPr>
        <w:t>30cm</w:t>
      </w:r>
      <w:r>
        <w:rPr>
          <w:rFonts w:hint="eastAsia" w:ascii="仿宋" w:hAnsi="仿宋" w:eastAsia="仿宋"/>
          <w:bCs/>
          <w:sz w:val="28"/>
          <w:szCs w:val="28"/>
        </w:rPr>
        <w:t>处的剂量限值</w:t>
      </w:r>
      <w:r>
        <w:rPr>
          <w:rFonts w:ascii="仿宋" w:hAnsi="仿宋" w:eastAsia="仿宋"/>
          <w:bCs/>
          <w:sz w:val="28"/>
          <w:szCs w:val="28"/>
        </w:rPr>
        <w:t>2.5μSv/h</w:t>
      </w:r>
      <w:r>
        <w:rPr>
          <w:rFonts w:hint="eastAsia" w:ascii="仿宋" w:hAnsi="仿宋" w:eastAsia="仿宋"/>
          <w:bCs/>
          <w:sz w:val="28"/>
          <w:szCs w:val="28"/>
        </w:rPr>
        <w:t>，也低于环评报告提出的</w:t>
      </w:r>
      <w:r>
        <w:rPr>
          <w:rFonts w:ascii="仿宋" w:hAnsi="仿宋" w:eastAsia="仿宋"/>
          <w:bCs/>
          <w:sz w:val="28"/>
          <w:szCs w:val="28"/>
        </w:rPr>
        <w:t>2.5μSv/h</w:t>
      </w:r>
      <w:r>
        <w:rPr>
          <w:rFonts w:hint="eastAsia" w:ascii="仿宋" w:hAnsi="仿宋" w:eastAsia="仿宋"/>
          <w:bCs/>
          <w:sz w:val="28"/>
          <w:szCs w:val="28"/>
        </w:rPr>
        <w:t>的管理约束限值。</w:t>
      </w:r>
    </w:p>
    <w:p>
      <w:pPr>
        <w:snapToGrid w:val="0"/>
        <w:spacing w:line="360" w:lineRule="auto"/>
        <w:ind w:firstLine="560"/>
        <w:rPr>
          <w:rFonts w:ascii="仿宋" w:hAnsi="仿宋" w:eastAsia="仿宋"/>
          <w:bCs/>
          <w:sz w:val="28"/>
          <w:szCs w:val="28"/>
        </w:rPr>
      </w:pPr>
      <w:r>
        <w:rPr>
          <w:rFonts w:hint="eastAsia" w:ascii="仿宋" w:hAnsi="仿宋" w:eastAsia="仿宋"/>
          <w:bCs/>
          <w:sz w:val="28"/>
          <w:szCs w:val="28"/>
        </w:rPr>
        <w:t>非工作状态下，后装机机房周围环境</w:t>
      </w:r>
      <w:r>
        <w:rPr>
          <w:rFonts w:ascii="仿宋" w:hAnsi="仿宋" w:eastAsia="仿宋"/>
          <w:bCs/>
          <w:sz w:val="28"/>
          <w:szCs w:val="28"/>
        </w:rPr>
        <w:t>X-γ</w:t>
      </w:r>
      <w:r>
        <w:rPr>
          <w:rFonts w:hint="eastAsia" w:ascii="仿宋" w:hAnsi="仿宋" w:eastAsia="仿宋"/>
          <w:bCs/>
          <w:sz w:val="28"/>
          <w:szCs w:val="28"/>
        </w:rPr>
        <w:t>空气吸收剂量率范围为（</w:t>
      </w:r>
      <w:r>
        <w:rPr>
          <w:rFonts w:ascii="仿宋" w:hAnsi="仿宋" w:eastAsia="仿宋"/>
          <w:bCs/>
          <w:sz w:val="28"/>
          <w:szCs w:val="28"/>
        </w:rPr>
        <w:t>102~121</w:t>
      </w:r>
      <w:r>
        <w:rPr>
          <w:rFonts w:hint="eastAsia" w:ascii="仿宋" w:hAnsi="仿宋" w:eastAsia="仿宋"/>
          <w:bCs/>
          <w:sz w:val="28"/>
          <w:szCs w:val="28"/>
        </w:rPr>
        <w:t>）</w:t>
      </w:r>
      <w:r>
        <w:rPr>
          <w:rFonts w:ascii="仿宋" w:hAnsi="仿宋" w:eastAsia="仿宋"/>
          <w:bCs/>
          <w:sz w:val="28"/>
          <w:szCs w:val="28"/>
        </w:rPr>
        <w:t>nSv/h</w:t>
      </w:r>
      <w:r>
        <w:rPr>
          <w:rFonts w:hint="eastAsia" w:ascii="仿宋" w:hAnsi="仿宋" w:eastAsia="仿宋"/>
          <w:bCs/>
          <w:sz w:val="28"/>
          <w:szCs w:val="28"/>
        </w:rPr>
        <w:t>，处于济南市天然放射性本底水平范围内（</w:t>
      </w:r>
      <w:r>
        <w:rPr>
          <w:rFonts w:ascii="仿宋" w:hAnsi="仿宋" w:eastAsia="仿宋"/>
          <w:bCs/>
          <w:sz w:val="28"/>
          <w:szCs w:val="28"/>
        </w:rPr>
        <w:t>65.4~129.4 nSv/h</w:t>
      </w:r>
      <w:r>
        <w:rPr>
          <w:rFonts w:hint="eastAsia" w:ascii="仿宋" w:hAnsi="仿宋" w:eastAsia="仿宋"/>
          <w:bCs/>
          <w:sz w:val="28"/>
          <w:szCs w:val="28"/>
        </w:rPr>
        <w:t>）。</w:t>
      </w:r>
    </w:p>
    <w:p>
      <w:pPr>
        <w:snapToGrid w:val="0"/>
        <w:spacing w:line="360" w:lineRule="auto"/>
        <w:ind w:firstLine="560"/>
        <w:rPr>
          <w:rFonts w:hint="eastAsia" w:ascii="仿宋" w:hAnsi="仿宋" w:eastAsia="仿宋"/>
          <w:bCs/>
          <w:sz w:val="28"/>
          <w:szCs w:val="28"/>
        </w:rPr>
      </w:pPr>
      <w:r>
        <w:rPr>
          <w:rFonts w:hint="eastAsia" w:ascii="仿宋" w:hAnsi="仿宋" w:eastAsia="仿宋"/>
          <w:bCs/>
          <w:sz w:val="28"/>
          <w:szCs w:val="28"/>
        </w:rPr>
        <w:t>距后装机表面</w:t>
      </w:r>
      <w:r>
        <w:rPr>
          <w:rFonts w:ascii="仿宋" w:hAnsi="仿宋" w:eastAsia="仿宋"/>
          <w:bCs/>
          <w:sz w:val="28"/>
          <w:szCs w:val="28"/>
        </w:rPr>
        <w:t>5cm</w:t>
      </w:r>
      <w:r>
        <w:rPr>
          <w:rFonts w:hint="eastAsia" w:ascii="仿宋" w:hAnsi="仿宋" w:eastAsia="仿宋"/>
          <w:bCs/>
          <w:sz w:val="28"/>
          <w:szCs w:val="28"/>
        </w:rPr>
        <w:t>处和</w:t>
      </w:r>
      <w:r>
        <w:rPr>
          <w:rFonts w:ascii="仿宋" w:hAnsi="仿宋" w:eastAsia="仿宋"/>
          <w:bCs/>
          <w:sz w:val="28"/>
          <w:szCs w:val="28"/>
        </w:rPr>
        <w:t>1m</w:t>
      </w:r>
      <w:r>
        <w:rPr>
          <w:rFonts w:hint="eastAsia" w:ascii="仿宋" w:hAnsi="仿宋" w:eastAsia="仿宋"/>
          <w:bCs/>
          <w:sz w:val="28"/>
          <w:szCs w:val="28"/>
        </w:rPr>
        <w:t>处实测</w:t>
      </w:r>
      <w:r>
        <w:rPr>
          <w:rFonts w:ascii="仿宋" w:hAnsi="仿宋" w:eastAsia="仿宋"/>
          <w:bCs/>
          <w:sz w:val="28"/>
          <w:szCs w:val="28"/>
        </w:rPr>
        <w:t>X-</w:t>
      </w:r>
      <w:r>
        <w:rPr>
          <w:rFonts w:hint="eastAsia" w:ascii="仿宋" w:hAnsi="仿宋" w:eastAsia="仿宋"/>
          <w:bCs/>
          <w:sz w:val="28"/>
          <w:szCs w:val="28"/>
        </w:rPr>
        <w:t>γ空气吸收剂量率平均值的最大监测结果分别为</w:t>
      </w:r>
      <w:r>
        <w:rPr>
          <w:rFonts w:ascii="仿宋" w:hAnsi="仿宋" w:eastAsia="仿宋"/>
          <w:bCs/>
          <w:sz w:val="28"/>
          <w:szCs w:val="28"/>
        </w:rPr>
        <w:t>2468nSv/h</w:t>
      </w:r>
      <w:r>
        <w:rPr>
          <w:rFonts w:hint="eastAsia" w:ascii="仿宋" w:hAnsi="仿宋" w:eastAsia="仿宋"/>
          <w:bCs/>
          <w:sz w:val="28"/>
          <w:szCs w:val="28"/>
        </w:rPr>
        <w:t>（</w:t>
      </w:r>
      <w:r>
        <w:rPr>
          <w:rFonts w:ascii="仿宋" w:hAnsi="仿宋" w:eastAsia="仿宋"/>
          <w:bCs/>
          <w:sz w:val="28"/>
          <w:szCs w:val="28"/>
        </w:rPr>
        <w:t>2.468μSv/h</w:t>
      </w:r>
      <w:r>
        <w:rPr>
          <w:rFonts w:hint="eastAsia" w:ascii="仿宋" w:hAnsi="仿宋" w:eastAsia="仿宋"/>
          <w:bCs/>
          <w:sz w:val="28"/>
          <w:szCs w:val="28"/>
        </w:rPr>
        <w:t>）和</w:t>
      </w:r>
      <w:r>
        <w:rPr>
          <w:rFonts w:ascii="仿宋" w:hAnsi="仿宋" w:eastAsia="仿宋"/>
          <w:bCs/>
          <w:sz w:val="28"/>
          <w:szCs w:val="28"/>
        </w:rPr>
        <w:t>1459nSv/h</w:t>
      </w:r>
      <w:r>
        <w:rPr>
          <w:rFonts w:hint="eastAsia" w:ascii="仿宋" w:hAnsi="仿宋" w:eastAsia="仿宋"/>
          <w:bCs/>
          <w:sz w:val="28"/>
          <w:szCs w:val="28"/>
        </w:rPr>
        <w:t>（</w:t>
      </w:r>
      <w:r>
        <w:rPr>
          <w:rFonts w:ascii="仿宋" w:hAnsi="仿宋" w:eastAsia="仿宋"/>
          <w:bCs/>
          <w:sz w:val="28"/>
          <w:szCs w:val="28"/>
        </w:rPr>
        <w:t>1.459μSv/h</w:t>
      </w:r>
      <w:r>
        <w:rPr>
          <w:rFonts w:hint="eastAsia" w:ascii="仿宋" w:hAnsi="仿宋" w:eastAsia="仿宋"/>
          <w:bCs/>
          <w:sz w:val="28"/>
          <w:szCs w:val="28"/>
        </w:rPr>
        <w:t>），低于《后</w:t>
      </w:r>
    </w:p>
    <w:p>
      <w:pPr>
        <w:snapToGrid w:val="0"/>
        <w:spacing w:line="360" w:lineRule="auto"/>
        <w:ind w:left="0" w:leftChars="0" w:firstLine="0" w:firstLineChars="0"/>
        <w:rPr>
          <w:rFonts w:ascii="仿宋" w:hAnsi="仿宋" w:eastAsia="仿宋"/>
          <w:bCs/>
          <w:sz w:val="28"/>
          <w:szCs w:val="28"/>
        </w:rPr>
      </w:pPr>
      <w:r>
        <w:rPr>
          <w:rFonts w:hint="eastAsia" w:ascii="仿宋" w:hAnsi="仿宋" w:eastAsia="仿宋"/>
          <w:bCs/>
          <w:sz w:val="28"/>
          <w:szCs w:val="28"/>
        </w:rPr>
        <w:t>装</w:t>
      </w:r>
      <w:r>
        <w:rPr>
          <w:rFonts w:ascii="仿宋" w:hAnsi="仿宋" w:eastAsia="仿宋"/>
          <w:bCs/>
          <w:sz w:val="28"/>
          <w:szCs w:val="28"/>
        </w:rPr>
        <w:t>γ</w:t>
      </w:r>
      <w:r>
        <w:rPr>
          <w:rFonts w:hint="eastAsia" w:ascii="仿宋" w:hAnsi="仿宋" w:eastAsia="仿宋"/>
          <w:bCs/>
          <w:sz w:val="28"/>
          <w:szCs w:val="28"/>
        </w:rPr>
        <w:t>源近距离治疗卫生防护标准》（</w:t>
      </w:r>
      <w:r>
        <w:rPr>
          <w:rFonts w:ascii="仿宋" w:hAnsi="仿宋" w:eastAsia="仿宋"/>
          <w:bCs/>
          <w:sz w:val="28"/>
          <w:szCs w:val="28"/>
        </w:rPr>
        <w:t>GBZ121-2017</w:t>
      </w:r>
      <w:r>
        <w:rPr>
          <w:rFonts w:hint="eastAsia" w:ascii="仿宋" w:hAnsi="仿宋" w:eastAsia="仿宋"/>
          <w:bCs/>
          <w:sz w:val="28"/>
          <w:szCs w:val="28"/>
        </w:rPr>
        <w:t>）中规定的</w:t>
      </w:r>
      <w:r>
        <w:rPr>
          <w:rFonts w:ascii="仿宋" w:hAnsi="仿宋" w:eastAsia="仿宋"/>
          <w:bCs/>
          <w:sz w:val="28"/>
          <w:szCs w:val="28"/>
        </w:rPr>
        <w:t>50μSv/h</w:t>
      </w:r>
      <w:r>
        <w:rPr>
          <w:rFonts w:hint="eastAsia" w:ascii="仿宋" w:hAnsi="仿宋" w:eastAsia="仿宋"/>
          <w:bCs/>
          <w:sz w:val="28"/>
          <w:szCs w:val="28"/>
        </w:rPr>
        <w:t>和</w:t>
      </w:r>
      <w:r>
        <w:rPr>
          <w:rFonts w:ascii="仿宋" w:hAnsi="仿宋" w:eastAsia="仿宋"/>
          <w:bCs/>
          <w:sz w:val="28"/>
          <w:szCs w:val="28"/>
        </w:rPr>
        <w:t>5μSv/h</w:t>
      </w:r>
      <w:r>
        <w:rPr>
          <w:rFonts w:hint="eastAsia" w:ascii="仿宋" w:hAnsi="仿宋" w:eastAsia="仿宋"/>
          <w:bCs/>
          <w:sz w:val="28"/>
          <w:szCs w:val="28"/>
        </w:rPr>
        <w:t>的标准限值。</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四、验收结论</w:t>
      </w:r>
    </w:p>
    <w:p>
      <w:pPr>
        <w:snapToGrid w:val="0"/>
        <w:spacing w:line="360" w:lineRule="auto"/>
        <w:ind w:firstLine="560"/>
        <w:rPr>
          <w:rFonts w:ascii="仿宋" w:hAnsi="仿宋" w:eastAsia="仿宋"/>
          <w:sz w:val="28"/>
          <w:szCs w:val="28"/>
        </w:rPr>
      </w:pPr>
      <w:r>
        <w:rPr>
          <w:rFonts w:hint="eastAsia" w:ascii="仿宋" w:hAnsi="仿宋" w:eastAsia="仿宋"/>
          <w:bCs/>
          <w:sz w:val="28"/>
          <w:szCs w:val="28"/>
        </w:rPr>
        <w:t>项目环保手续齐全，基本落实了环境影响报告表及批复中的各项要求，辐射安全与防护措施有效，辐射安全管理制度齐全，验收监测结果满足要求，符合建设项目竣工环境保护验收条件，通过验收</w:t>
      </w:r>
      <w:r>
        <w:rPr>
          <w:rFonts w:ascii="仿宋" w:hAnsi="仿宋" w:eastAsia="仿宋"/>
          <w:sz w:val="28"/>
          <w:szCs w:val="28"/>
        </w:rPr>
        <w:t>。</w:t>
      </w:r>
    </w:p>
    <w:p>
      <w:pPr>
        <w:snapToGrid w:val="0"/>
        <w:spacing w:line="360" w:lineRule="auto"/>
        <w:ind w:firstLine="570" w:firstLineChars="0"/>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70" w:firstLineChars="0"/>
        <w:jc w:val="right"/>
        <w:rPr>
          <w:rFonts w:ascii="仿宋" w:hAnsi="仿宋" w:eastAsia="仿宋"/>
          <w:bCs/>
          <w:sz w:val="28"/>
          <w:szCs w:val="28"/>
        </w:rPr>
      </w:pPr>
    </w:p>
    <w:p>
      <w:pPr>
        <w:snapToGrid w:val="0"/>
        <w:spacing w:line="360" w:lineRule="auto"/>
        <w:ind w:firstLine="570" w:firstLineChars="0"/>
        <w:jc w:val="right"/>
        <w:rPr>
          <w:rFonts w:ascii="仿宋" w:hAnsi="仿宋" w:eastAsia="仿宋"/>
          <w:bCs/>
          <w:sz w:val="28"/>
          <w:szCs w:val="28"/>
        </w:rPr>
      </w:pPr>
    </w:p>
    <w:p>
      <w:pPr>
        <w:snapToGrid w:val="0"/>
        <w:spacing w:line="360" w:lineRule="auto"/>
        <w:ind w:firstLine="570" w:firstLineChars="0"/>
        <w:jc w:val="right"/>
        <w:rPr>
          <w:rFonts w:ascii="仿宋" w:hAnsi="仿宋" w:eastAsia="仿宋"/>
          <w:bCs/>
          <w:sz w:val="28"/>
          <w:szCs w:val="28"/>
        </w:rPr>
      </w:pPr>
    </w:p>
    <w:p>
      <w:pPr>
        <w:snapToGrid w:val="0"/>
        <w:spacing w:line="360" w:lineRule="auto"/>
        <w:ind w:right="140" w:firstLine="570" w:firstLineChars="0"/>
        <w:jc w:val="right"/>
        <w:rPr>
          <w:rFonts w:ascii="仿宋" w:hAnsi="仿宋" w:eastAsia="仿宋"/>
          <w:sz w:val="28"/>
          <w:szCs w:val="28"/>
        </w:rPr>
      </w:pPr>
      <w:r>
        <w:rPr>
          <w:rFonts w:hint="eastAsia" w:ascii="仿宋" w:hAnsi="仿宋" w:eastAsia="仿宋"/>
          <w:bCs/>
          <w:sz w:val="28"/>
          <w:szCs w:val="28"/>
        </w:rPr>
        <w:t xml:space="preserve">验收工作组 </w:t>
      </w:r>
      <w:r>
        <w:rPr>
          <w:rFonts w:ascii="仿宋" w:hAnsi="仿宋" w:eastAsia="仿宋"/>
          <w:bCs/>
          <w:sz w:val="28"/>
          <w:szCs w:val="28"/>
        </w:rPr>
        <w:t xml:space="preserve">    </w:t>
      </w:r>
    </w:p>
    <w:p>
      <w:pPr>
        <w:snapToGrid w:val="0"/>
        <w:spacing w:line="360" w:lineRule="auto"/>
        <w:ind w:firstLine="0" w:firstLineChars="0"/>
        <w:jc w:val="right"/>
        <w:rPr>
          <w:rFonts w:ascii="仿宋" w:hAnsi="仿宋" w:eastAsia="仿宋" w:cs="Times New Roman"/>
          <w:sz w:val="28"/>
          <w:szCs w:val="28"/>
        </w:rPr>
      </w:pPr>
      <w:r>
        <w:rPr>
          <w:rFonts w:hint="eastAsia" w:ascii="仿宋" w:hAnsi="仿宋" w:eastAsia="仿宋" w:cs="Times New Roman"/>
          <w:sz w:val="28"/>
          <w:szCs w:val="28"/>
        </w:rPr>
        <w:t xml:space="preserve">                                        20</w:t>
      </w:r>
      <w:r>
        <w:rPr>
          <w:rFonts w:ascii="仿宋" w:hAnsi="仿宋" w:eastAsia="仿宋" w:cs="Times New Roman"/>
          <w:sz w:val="28"/>
          <w:szCs w:val="28"/>
        </w:rPr>
        <w:t>20</w:t>
      </w:r>
      <w:r>
        <w:rPr>
          <w:rFonts w:hint="eastAsia" w:ascii="仿宋" w:hAnsi="仿宋" w:eastAsia="仿宋" w:cs="Times New Roman"/>
          <w:sz w:val="28"/>
          <w:szCs w:val="28"/>
        </w:rPr>
        <w:t>年</w:t>
      </w:r>
      <w:r>
        <w:rPr>
          <w:rFonts w:ascii="仿宋" w:hAnsi="仿宋" w:eastAsia="仿宋" w:cs="Times New Roman"/>
          <w:sz w:val="28"/>
          <w:szCs w:val="28"/>
        </w:rPr>
        <w:t>9</w:t>
      </w:r>
      <w:r>
        <w:rPr>
          <w:rFonts w:hint="eastAsia" w:ascii="仿宋" w:hAnsi="仿宋" w:eastAsia="仿宋" w:cs="Times New Roman"/>
          <w:sz w:val="28"/>
          <w:szCs w:val="28"/>
        </w:rPr>
        <w:t>月2</w:t>
      </w:r>
      <w:r>
        <w:rPr>
          <w:rFonts w:ascii="仿宋" w:hAnsi="仿宋" w:eastAsia="仿宋" w:cs="Times New Roman"/>
          <w:sz w:val="28"/>
          <w:szCs w:val="28"/>
        </w:rPr>
        <w:t>7</w:t>
      </w:r>
      <w:r>
        <w:rPr>
          <w:rFonts w:hint="eastAsia" w:ascii="仿宋" w:hAnsi="仿宋" w:eastAsia="仿宋" w:cs="Times New Roman"/>
          <w:sz w:val="28"/>
          <w:szCs w:val="28"/>
        </w:rPr>
        <w:t xml:space="preserve">日 </w:t>
      </w:r>
      <w:r>
        <w:rPr>
          <w:rFonts w:ascii="仿宋" w:hAnsi="仿宋" w:eastAsia="仿宋" w:cs="Times New Roman"/>
          <w:sz w:val="28"/>
          <w:szCs w:val="28"/>
        </w:rPr>
        <w:t xml:space="preserve"> </w:t>
      </w:r>
    </w:p>
    <w:p>
      <w:pPr>
        <w:widowControl/>
        <w:spacing w:line="240" w:lineRule="auto"/>
        <w:ind w:firstLine="0" w:firstLineChars="0"/>
        <w:jc w:val="left"/>
        <w:rPr>
          <w:rFonts w:ascii="仿宋" w:hAnsi="仿宋" w:eastAsia="仿宋" w:cs="Times New Roman"/>
          <w:sz w:val="28"/>
          <w:szCs w:val="28"/>
        </w:rPr>
      </w:pPr>
      <w:r>
        <w:rPr>
          <w:rFonts w:ascii="仿宋" w:hAnsi="仿宋" w:eastAsia="仿宋" w:cs="Times New Roman"/>
          <w:sz w:val="28"/>
          <w:szCs w:val="28"/>
        </w:rPr>
        <w:br w:type="page"/>
      </w:r>
    </w:p>
    <w:p>
      <w:pPr>
        <w:snapToGrid w:val="0"/>
        <w:spacing w:line="360" w:lineRule="auto"/>
        <w:ind w:firstLine="0" w:firstLineChars="0"/>
        <w:jc w:val="right"/>
        <w:rPr>
          <w:rFonts w:ascii="仿宋" w:hAnsi="仿宋" w:eastAsia="仿宋" w:cs="Times New Roman"/>
          <w:sz w:val="28"/>
          <w:szCs w:val="28"/>
        </w:rPr>
      </w:pPr>
      <w:r>
        <w:rPr>
          <w:rFonts w:ascii="仿宋" w:hAnsi="仿宋" w:eastAsia="仿宋" w:cs="Times New Roman"/>
          <w:sz w:val="28"/>
          <w:szCs w:val="28"/>
        </w:rPr>
        <w:drawing>
          <wp:inline distT="0" distB="0" distL="0" distR="0">
            <wp:extent cx="5264785" cy="7902575"/>
            <wp:effectExtent l="0" t="0" r="0" b="3175"/>
            <wp:docPr id="2" name="图片 2" descr="D:\360MoveData\Users\l\Desktop\16012853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60MoveData\Users\l\Desktop\1601285318(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4785" cy="7902575"/>
                    </a:xfrm>
                    <a:prstGeom prst="rect">
                      <a:avLst/>
                    </a:prstGeom>
                    <a:noFill/>
                    <a:ln>
                      <a:noFill/>
                    </a:ln>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236" w:bottom="1440" w:left="1236"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9337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337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6.5pt;width:23.1pt;mso-position-horizontal:center;mso-position-horizontal-relative:margin;mso-wrap-style:none;z-index:251658240;mso-width-relative:page;mso-height-relative:page;" filled="f" stroked="f" coordsize="21600,21600" o:gfxdata="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Oz/dtIAAAADAQAADwAAAAAAAAABACAAAAAi&#10;AAAAZHJzL2Rvd25yZXYueG1sUEsBAhQAFAAAAAgAh07iQHwyylIQAgAABQQAAA4AAAAAAAAAAQAg&#10;AAAAIQEAAGRycy9lMm9Eb2MueG1sUEsFBgAAAAAGAAYAWQEAAKMFAAAAAA==&#10;">
              <v:fill on="f" focussize="0,0"/>
              <v:stroke on="f" weight="0.5pt"/>
              <v:imagedata o:title=""/>
              <o:lock v:ext="edit" aspectratio="f"/>
              <v:textbox inset="0mm,0mm,0mm,0mm" style="mso-fit-shape-to-text:t;">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E3662"/>
    <w:multiLevelType w:val="singleLevel"/>
    <w:tmpl w:val="E7EE36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AB1"/>
    <w:rsid w:val="00045E1B"/>
    <w:rsid w:val="000A65CC"/>
    <w:rsid w:val="000A72C4"/>
    <w:rsid w:val="00106A77"/>
    <w:rsid w:val="00107E8E"/>
    <w:rsid w:val="00156817"/>
    <w:rsid w:val="001644B3"/>
    <w:rsid w:val="00172A27"/>
    <w:rsid w:val="0018538F"/>
    <w:rsid w:val="001A0D41"/>
    <w:rsid w:val="001A252A"/>
    <w:rsid w:val="0025780E"/>
    <w:rsid w:val="002A0B9D"/>
    <w:rsid w:val="002B2007"/>
    <w:rsid w:val="003004A0"/>
    <w:rsid w:val="00351BB2"/>
    <w:rsid w:val="003768D0"/>
    <w:rsid w:val="003C711B"/>
    <w:rsid w:val="003E583F"/>
    <w:rsid w:val="00406F80"/>
    <w:rsid w:val="004233B0"/>
    <w:rsid w:val="004C7C75"/>
    <w:rsid w:val="004D14F7"/>
    <w:rsid w:val="00513D37"/>
    <w:rsid w:val="00523DD4"/>
    <w:rsid w:val="005344E5"/>
    <w:rsid w:val="005418F4"/>
    <w:rsid w:val="00594825"/>
    <w:rsid w:val="005B17C3"/>
    <w:rsid w:val="005B75E6"/>
    <w:rsid w:val="005D0EC6"/>
    <w:rsid w:val="006A3553"/>
    <w:rsid w:val="006C616A"/>
    <w:rsid w:val="00704E5A"/>
    <w:rsid w:val="00746434"/>
    <w:rsid w:val="007A05CA"/>
    <w:rsid w:val="007A32CB"/>
    <w:rsid w:val="007B475B"/>
    <w:rsid w:val="007D5FAA"/>
    <w:rsid w:val="007F7F05"/>
    <w:rsid w:val="00842AEB"/>
    <w:rsid w:val="0085027B"/>
    <w:rsid w:val="00853F39"/>
    <w:rsid w:val="00882B4D"/>
    <w:rsid w:val="00885C2C"/>
    <w:rsid w:val="00920524"/>
    <w:rsid w:val="00A52BD5"/>
    <w:rsid w:val="00A95642"/>
    <w:rsid w:val="00AC6603"/>
    <w:rsid w:val="00AF6D58"/>
    <w:rsid w:val="00B00DF4"/>
    <w:rsid w:val="00B440F7"/>
    <w:rsid w:val="00BA48E1"/>
    <w:rsid w:val="00BC078F"/>
    <w:rsid w:val="00BD0D9F"/>
    <w:rsid w:val="00BF4A99"/>
    <w:rsid w:val="00BF6DF6"/>
    <w:rsid w:val="00C501C3"/>
    <w:rsid w:val="00C83CE2"/>
    <w:rsid w:val="00C84B86"/>
    <w:rsid w:val="00D15F83"/>
    <w:rsid w:val="00D41B1A"/>
    <w:rsid w:val="00D93285"/>
    <w:rsid w:val="00DA2456"/>
    <w:rsid w:val="00E22C81"/>
    <w:rsid w:val="00E42264"/>
    <w:rsid w:val="00E445D7"/>
    <w:rsid w:val="00E564DD"/>
    <w:rsid w:val="00E91BD2"/>
    <w:rsid w:val="00E92348"/>
    <w:rsid w:val="00E95F98"/>
    <w:rsid w:val="00EF043E"/>
    <w:rsid w:val="00F0295D"/>
    <w:rsid w:val="00F5169E"/>
    <w:rsid w:val="00FA0C6A"/>
    <w:rsid w:val="00FC46FE"/>
    <w:rsid w:val="00FF422E"/>
    <w:rsid w:val="04A927C1"/>
    <w:rsid w:val="05D22638"/>
    <w:rsid w:val="08326F8F"/>
    <w:rsid w:val="0B8E26D6"/>
    <w:rsid w:val="0E927C9E"/>
    <w:rsid w:val="0F2A49B4"/>
    <w:rsid w:val="101A24A7"/>
    <w:rsid w:val="1424055C"/>
    <w:rsid w:val="153F21B7"/>
    <w:rsid w:val="157C3D99"/>
    <w:rsid w:val="18CA08B6"/>
    <w:rsid w:val="1966684B"/>
    <w:rsid w:val="19985F53"/>
    <w:rsid w:val="1B0E763F"/>
    <w:rsid w:val="1E9F2BA7"/>
    <w:rsid w:val="253052CF"/>
    <w:rsid w:val="271B3C12"/>
    <w:rsid w:val="2A4E6F8B"/>
    <w:rsid w:val="2CF11CFE"/>
    <w:rsid w:val="2E284C4E"/>
    <w:rsid w:val="37872B77"/>
    <w:rsid w:val="3E0210CA"/>
    <w:rsid w:val="3F5A7B5E"/>
    <w:rsid w:val="40B35210"/>
    <w:rsid w:val="4C636095"/>
    <w:rsid w:val="4CA97638"/>
    <w:rsid w:val="4CE135BC"/>
    <w:rsid w:val="516C5199"/>
    <w:rsid w:val="51B320E3"/>
    <w:rsid w:val="53763481"/>
    <w:rsid w:val="53871BE9"/>
    <w:rsid w:val="54554FB9"/>
    <w:rsid w:val="56203D2D"/>
    <w:rsid w:val="56287F3B"/>
    <w:rsid w:val="59FD6F3B"/>
    <w:rsid w:val="5B0E1010"/>
    <w:rsid w:val="5C7C554E"/>
    <w:rsid w:val="63C95FA7"/>
    <w:rsid w:val="6B970C34"/>
    <w:rsid w:val="73191CC3"/>
    <w:rsid w:val="73A60D5A"/>
    <w:rsid w:val="73C84675"/>
    <w:rsid w:val="77557266"/>
    <w:rsid w:val="7832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48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hint="eastAsia" w:ascii="Calibri" w:hAnsi="Calibri"/>
      <w:b/>
      <w:kern w:val="44"/>
      <w:sz w:val="32"/>
      <w:szCs w:val="22"/>
    </w:rPr>
  </w:style>
  <w:style w:type="paragraph" w:styleId="3">
    <w:name w:val="heading 2"/>
    <w:basedOn w:val="1"/>
    <w:next w:val="1"/>
    <w:link w:val="13"/>
    <w:unhideWhenUsed/>
    <w:qFormat/>
    <w:uiPriority w:val="0"/>
    <w:pPr>
      <w:keepNext/>
      <w:keepLines/>
      <w:spacing w:line="360" w:lineRule="auto"/>
      <w:jc w:val="left"/>
      <w:outlineLvl w:val="1"/>
    </w:pPr>
    <w:rPr>
      <w:rFonts w:ascii="Arial" w:hAnsi="Arial" w:eastAsia="宋体"/>
      <w:sz w:val="30"/>
    </w:rPr>
  </w:style>
  <w:style w:type="paragraph" w:styleId="4">
    <w:name w:val="heading 4"/>
    <w:basedOn w:val="1"/>
    <w:next w:val="1"/>
    <w:unhideWhenUsed/>
    <w:qFormat/>
    <w:uiPriority w:val="0"/>
    <w:pPr>
      <w:keepNext/>
      <w:keepLines/>
      <w:spacing w:before="50" w:beforeLines="50" w:after="50" w:afterLines="50" w:line="360" w:lineRule="auto"/>
      <w:ind w:firstLine="0" w:firstLineChars="0"/>
      <w:outlineLvl w:val="3"/>
    </w:pPr>
    <w:rPr>
      <w:rFonts w:ascii="Arial" w:hAnsi="Arial" w:eastAsia="宋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5"/>
    <w:qFormat/>
    <w:uiPriority w:val="0"/>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99"/>
    <w:pPr>
      <w:widowControl/>
      <w:spacing w:before="100" w:beforeAutospacing="1" w:after="100" w:afterAutospacing="1"/>
      <w:jc w:val="left"/>
    </w:pPr>
    <w:rPr>
      <w:rFonts w:ascii="宋体" w:hAnsi="宋体"/>
      <w:kern w:val="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标题 2 Char"/>
    <w:link w:val="3"/>
    <w:qFormat/>
    <w:uiPriority w:val="0"/>
    <w:rPr>
      <w:rFonts w:ascii="Arial" w:hAnsi="Arial" w:eastAsia="宋体"/>
      <w:sz w:val="30"/>
    </w:rPr>
  </w:style>
  <w:style w:type="paragraph" w:styleId="14">
    <w:name w:val="List Paragraph"/>
    <w:basedOn w:val="1"/>
    <w:qFormat/>
    <w:uiPriority w:val="99"/>
    <w:pPr>
      <w:ind w:firstLine="420"/>
    </w:pPr>
  </w:style>
  <w:style w:type="character" w:customStyle="1" w:styleId="15">
    <w:name w:val="纯文本 Char"/>
    <w:basedOn w:val="11"/>
    <w:link w:val="5"/>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329</Words>
  <Characters>1879</Characters>
  <Lines>15</Lines>
  <Paragraphs>4</Paragraphs>
  <TotalTime>163</TotalTime>
  <ScaleCrop>false</ScaleCrop>
  <LinksUpToDate>false</LinksUpToDate>
  <CharactersWithSpaces>2204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相忘于江湖</dc:creator>
  <cp:lastModifiedBy>辉</cp:lastModifiedBy>
  <cp:lastPrinted>2020-09-29T03:24:00Z</cp:lastPrinted>
  <dcterms:modified xsi:type="dcterms:W3CDTF">2020-09-29T03:35:13Z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