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山东省肿瘤防治研究院</w:t>
      </w:r>
    </w:p>
    <w:p>
      <w:pPr>
        <w:snapToGrid w:val="0"/>
        <w:spacing w:line="240" w:lineRule="auto"/>
        <w:ind w:firstLine="0"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PET-CT 1室相关工作场所改建项目竣工环境保护验收</w:t>
      </w:r>
    </w:p>
    <w:p>
      <w:pPr>
        <w:snapToGrid w:val="0"/>
        <w:spacing w:line="240" w:lineRule="auto"/>
        <w:ind w:firstLine="0" w:firstLineChars="0"/>
        <w:jc w:val="center"/>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lang w:eastAsia="zh-CN"/>
        </w:rPr>
        <w:t>总结报告</w:t>
      </w:r>
    </w:p>
    <w:p>
      <w:pPr>
        <w:pStyle w:val="6"/>
        <w:snapToGrid w:val="0"/>
        <w:spacing w:before="332" w:beforeLines="100" w:line="360" w:lineRule="auto"/>
        <w:ind w:firstLine="560"/>
        <w:rPr>
          <w:rFonts w:ascii="仿宋" w:hAnsi="仿宋" w:eastAsia="仿宋"/>
          <w:bCs/>
          <w:sz w:val="28"/>
          <w:szCs w:val="28"/>
        </w:rPr>
      </w:pPr>
      <w:r>
        <w:rPr>
          <w:rFonts w:hint="eastAsia" w:ascii="仿宋" w:hAnsi="仿宋" w:eastAsia="仿宋"/>
          <w:bCs/>
          <w:sz w:val="28"/>
          <w:szCs w:val="28"/>
        </w:rPr>
        <w:t>2020年0</w:t>
      </w:r>
      <w:r>
        <w:rPr>
          <w:rFonts w:ascii="仿宋" w:hAnsi="仿宋" w:eastAsia="仿宋"/>
          <w:bCs/>
          <w:sz w:val="28"/>
          <w:szCs w:val="28"/>
        </w:rPr>
        <w:t>9</w:t>
      </w:r>
      <w:r>
        <w:rPr>
          <w:rFonts w:hint="eastAsia" w:ascii="仿宋" w:hAnsi="仿宋" w:eastAsia="仿宋"/>
          <w:bCs/>
          <w:sz w:val="28"/>
          <w:szCs w:val="28"/>
        </w:rPr>
        <w:t>月2</w:t>
      </w:r>
      <w:r>
        <w:rPr>
          <w:rFonts w:ascii="仿宋" w:hAnsi="仿宋" w:eastAsia="仿宋"/>
          <w:bCs/>
          <w:sz w:val="28"/>
          <w:szCs w:val="28"/>
        </w:rPr>
        <w:t>7</w:t>
      </w:r>
      <w:r>
        <w:rPr>
          <w:rFonts w:hint="eastAsia" w:ascii="仿宋" w:hAnsi="仿宋" w:eastAsia="仿宋"/>
          <w:bCs/>
          <w:sz w:val="28"/>
          <w:szCs w:val="28"/>
        </w:rPr>
        <w:t>日，山东省肿瘤防治研究院在济南市组织召开了PET-CT 1室相关工作场所改建项目竣工环境保护验收工作组会议。参加会议的有验收监测表编制单位山东鲁环检测科技有限公司的代表，并邀请两位专业技术专家，组成验收工作组(名单附后)。会议期间，山东省肿瘤防治研究院汇报了本项目的建设及管理情况，山东鲁环检测科技有限公司汇报了项目竣工环境保护验收监测报告，经现场检查，审阅资料和认真讨论，形成验收意见如下：</w:t>
      </w:r>
    </w:p>
    <w:p>
      <w:pPr>
        <w:numPr>
          <w:ilvl w:val="0"/>
          <w:numId w:val="1"/>
        </w:numPr>
        <w:snapToGrid w:val="0"/>
        <w:spacing w:line="360" w:lineRule="auto"/>
        <w:ind w:firstLine="562"/>
        <w:jc w:val="left"/>
        <w:rPr>
          <w:rFonts w:ascii="仿宋" w:hAnsi="仿宋" w:eastAsia="仿宋"/>
          <w:b/>
          <w:bCs/>
          <w:sz w:val="28"/>
          <w:szCs w:val="28"/>
        </w:rPr>
      </w:pPr>
      <w:r>
        <w:rPr>
          <w:rFonts w:hint="eastAsia" w:ascii="仿宋" w:hAnsi="仿宋" w:eastAsia="仿宋"/>
          <w:b/>
          <w:bCs/>
          <w:sz w:val="28"/>
          <w:szCs w:val="28"/>
        </w:rPr>
        <w:t>项目基本情况</w:t>
      </w:r>
    </w:p>
    <w:p>
      <w:pPr>
        <w:pStyle w:val="6"/>
        <w:snapToGrid w:val="0"/>
        <w:spacing w:line="360" w:lineRule="auto"/>
        <w:ind w:firstLine="560"/>
        <w:rPr>
          <w:rFonts w:ascii="仿宋" w:hAnsi="仿宋" w:eastAsia="仿宋"/>
          <w:bCs/>
          <w:sz w:val="28"/>
          <w:szCs w:val="28"/>
        </w:rPr>
      </w:pPr>
      <w:r>
        <w:rPr>
          <w:rFonts w:hint="eastAsia" w:ascii="仿宋" w:hAnsi="仿宋" w:eastAsia="仿宋"/>
          <w:bCs/>
          <w:sz w:val="28"/>
          <w:szCs w:val="28"/>
        </w:rPr>
        <w:t>山东省肿瘤防治研究院位于山东省济南市槐荫区济兖路440号。医院购置1台PET-CT置于PET-CT1室内，淘汰原有设备，增加PET中心的核素用量，并对PET-CT1室相关工作场所进行改造，改造内容主要包括：①利用场所北侧PET中心与核医学科之间夹道，建设6间注射后候诊室；②对原场所注射室进行改造，将原有注射窗改为牛头注射窗，增加自动注射仪，东侧的通道封堵后改为卫生通过间，并在最东端设置工作人员的更衣室和淋浴间，并调整放射性废水收集管网；③对场所内原通风系统进行改造；④针对各相关房间使用情况进行屏蔽防护。</w:t>
      </w:r>
    </w:p>
    <w:p>
      <w:pPr>
        <w:pStyle w:val="6"/>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20</w:t>
      </w:r>
      <w:r>
        <w:rPr>
          <w:rFonts w:ascii="仿宋" w:hAnsi="仿宋" w:eastAsia="仿宋"/>
          <w:bCs/>
          <w:sz w:val="28"/>
          <w:szCs w:val="28"/>
        </w:rPr>
        <w:t>20</w:t>
      </w:r>
      <w:r>
        <w:rPr>
          <w:rFonts w:hint="eastAsia" w:ascii="仿宋" w:hAnsi="仿宋" w:eastAsia="仿宋"/>
          <w:bCs/>
          <w:sz w:val="28"/>
          <w:szCs w:val="28"/>
        </w:rPr>
        <w:t>年</w:t>
      </w:r>
      <w:r>
        <w:rPr>
          <w:rFonts w:ascii="仿宋" w:hAnsi="仿宋" w:eastAsia="仿宋"/>
          <w:bCs/>
          <w:sz w:val="28"/>
          <w:szCs w:val="28"/>
        </w:rPr>
        <w:t>2</w:t>
      </w:r>
      <w:r>
        <w:rPr>
          <w:rFonts w:hint="eastAsia" w:ascii="仿宋" w:hAnsi="仿宋" w:eastAsia="仿宋"/>
          <w:bCs/>
          <w:sz w:val="28"/>
          <w:szCs w:val="28"/>
        </w:rPr>
        <w:t>月</w:t>
      </w:r>
      <w:r>
        <w:rPr>
          <w:rFonts w:ascii="仿宋" w:hAnsi="仿宋" w:eastAsia="仿宋"/>
          <w:bCs/>
          <w:sz w:val="28"/>
          <w:szCs w:val="28"/>
        </w:rPr>
        <w:t>3</w:t>
      </w:r>
      <w:r>
        <w:rPr>
          <w:rFonts w:hint="eastAsia" w:ascii="仿宋" w:hAnsi="仿宋" w:eastAsia="仿宋"/>
          <w:bCs/>
          <w:sz w:val="28"/>
          <w:szCs w:val="28"/>
        </w:rPr>
        <w:t>日，济南市生态环境局以济环辐表审[2020]7号批复了《山东省肿瘤防治研究院PET-CT 1室相关工作场所改建项目环境影响报告表》。</w:t>
      </w:r>
      <w:r>
        <w:rPr>
          <w:rFonts w:hint="eastAsia" w:ascii="仿宋" w:hAnsi="仿宋" w:eastAsia="仿宋"/>
          <w:bCs/>
          <w:color w:val="000000" w:themeColor="text1"/>
          <w:sz w:val="28"/>
          <w:szCs w:val="28"/>
          <w14:textFill>
            <w14:solidFill>
              <w14:schemeClr w14:val="tx1"/>
            </w14:solidFill>
          </w14:textFill>
        </w:rPr>
        <w:t>该医院已于2020年5月28日延续了山东省生态环境厅颁发的《辐射安全许可证》（有效期至2023年11月15日，证书编号为鲁环辐证[01066]，许可种类和范</w:t>
      </w:r>
    </w:p>
    <w:p>
      <w:pPr>
        <w:pStyle w:val="6"/>
        <w:snapToGrid w:val="0"/>
        <w:spacing w:line="360" w:lineRule="auto"/>
        <w:ind w:left="0" w:leftChars="0" w:firstLine="0" w:firstLineChars="0"/>
        <w:rPr>
          <w:rFonts w:hint="eastAsia" w:ascii="仿宋" w:hAnsi="仿宋" w:eastAsia="仿宋"/>
          <w:bCs/>
          <w:color w:val="000000" w:themeColor="text1"/>
          <w:sz w:val="28"/>
          <w:szCs w:val="28"/>
          <w14:textFill>
            <w14:solidFill>
              <w14:schemeClr w14:val="tx1"/>
            </w14:solidFill>
          </w14:textFill>
        </w:rPr>
      </w:pPr>
    </w:p>
    <w:p>
      <w:pPr>
        <w:pStyle w:val="6"/>
        <w:snapToGrid w:val="0"/>
        <w:spacing w:line="360" w:lineRule="auto"/>
        <w:ind w:left="0" w:leftChars="0" w:firstLine="0" w:firstLineChars="0"/>
        <w:rPr>
          <w:rFonts w:hint="eastAsia" w:ascii="仿宋" w:hAnsi="仿宋" w:eastAsia="仿宋"/>
          <w:bCs/>
          <w:color w:val="000000" w:themeColor="text1"/>
          <w:sz w:val="28"/>
          <w:szCs w:val="28"/>
          <w14:textFill>
            <w14:solidFill>
              <w14:schemeClr w14:val="tx1"/>
            </w14:solidFill>
          </w14:textFill>
        </w:rPr>
      </w:pPr>
    </w:p>
    <w:p>
      <w:pPr>
        <w:pStyle w:val="6"/>
        <w:snapToGrid w:val="0"/>
        <w:spacing w:line="360" w:lineRule="auto"/>
        <w:ind w:left="0" w:leftChars="0" w:firstLine="0" w:firstLineChars="0"/>
        <w:rPr>
          <w:rFonts w:hint="eastAsia" w:ascii="仿宋" w:hAnsi="仿宋" w:eastAsia="仿宋"/>
          <w:bCs/>
          <w:color w:val="000000" w:themeColor="text1"/>
          <w:sz w:val="28"/>
          <w:szCs w:val="28"/>
          <w14:textFill>
            <w14:solidFill>
              <w14:schemeClr w14:val="tx1"/>
            </w14:solidFill>
          </w14:textFill>
        </w:rPr>
      </w:pPr>
    </w:p>
    <w:p>
      <w:pPr>
        <w:pStyle w:val="6"/>
        <w:snapToGrid w:val="0"/>
        <w:spacing w:line="360" w:lineRule="auto"/>
        <w:ind w:left="0" w:leftChars="0" w:firstLine="0" w:firstLineChars="0"/>
        <w:rPr>
          <w:rFonts w:hint="eastAsia" w:ascii="仿宋" w:hAnsi="仿宋" w:eastAsia="仿宋"/>
          <w:bCs/>
          <w:color w:val="000000" w:themeColor="text1"/>
          <w:sz w:val="28"/>
          <w:szCs w:val="28"/>
          <w14:textFill>
            <w14:solidFill>
              <w14:schemeClr w14:val="tx1"/>
            </w14:solidFill>
          </w14:textFill>
        </w:rPr>
      </w:pPr>
    </w:p>
    <w:p>
      <w:pPr>
        <w:pStyle w:val="6"/>
        <w:snapToGrid w:val="0"/>
        <w:spacing w:line="360" w:lineRule="auto"/>
        <w:ind w:left="0" w:leftChars="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围为“使用Ⅰ类、Ⅲ类、Ⅴ类放射源，使用Ⅱ类、III类射线装置，乙级非密封放射性物质工作场所”）。</w:t>
      </w:r>
    </w:p>
    <w:p>
      <w:pPr>
        <w:pStyle w:val="6"/>
        <w:snapToGrid w:val="0"/>
        <w:spacing w:line="360" w:lineRule="auto"/>
        <w:ind w:firstLine="560"/>
        <w:rPr>
          <w:rFonts w:ascii="仿宋" w:hAnsi="仿宋" w:eastAsia="仿宋"/>
          <w:bCs/>
          <w:sz w:val="28"/>
          <w:szCs w:val="28"/>
        </w:rPr>
      </w:pPr>
      <w:r>
        <w:rPr>
          <w:rFonts w:hint="eastAsia" w:ascii="仿宋" w:hAnsi="仿宋" w:eastAsia="仿宋"/>
          <w:bCs/>
          <w:color w:val="000000" w:themeColor="text1"/>
          <w:sz w:val="28"/>
          <w:szCs w:val="28"/>
          <w14:textFill>
            <w14:solidFill>
              <w14:schemeClr w14:val="tx1"/>
            </w14:solidFill>
          </w14:textFill>
        </w:rPr>
        <w:t>本次验收规模与</w:t>
      </w:r>
      <w:r>
        <w:rPr>
          <w:rFonts w:hint="eastAsia" w:ascii="仿宋" w:hAnsi="仿宋" w:eastAsia="仿宋"/>
          <w:bCs/>
          <w:sz w:val="28"/>
          <w:szCs w:val="28"/>
        </w:rPr>
        <w:t>环评及批复基本一致</w:t>
      </w:r>
      <w:r>
        <w:rPr>
          <w:rFonts w:hint="eastAsia" w:ascii="仿宋" w:hAnsi="仿宋" w:eastAsia="仿宋"/>
          <w:bCs/>
          <w:color w:val="000000" w:themeColor="text1"/>
          <w:sz w:val="28"/>
          <w:szCs w:val="28"/>
          <w14:textFill>
            <w14:solidFill>
              <w14:schemeClr w14:val="tx1"/>
            </w14:solidFill>
          </w14:textFill>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二、环保设施及辐射安全防护措施</w:t>
      </w:r>
    </w:p>
    <w:p>
      <w:pPr>
        <w:pStyle w:val="6"/>
        <w:snapToGrid w:val="0"/>
        <w:spacing w:line="360" w:lineRule="auto"/>
        <w:ind w:firstLine="560"/>
        <w:rPr>
          <w:rFonts w:ascii="仿宋" w:hAnsi="仿宋" w:eastAsia="仿宋"/>
          <w:bCs/>
          <w:sz w:val="28"/>
          <w:szCs w:val="28"/>
        </w:rPr>
      </w:pPr>
      <w:r>
        <w:rPr>
          <w:rFonts w:hint="eastAsia" w:ascii="仿宋" w:hAnsi="仿宋" w:eastAsia="仿宋"/>
          <w:bCs/>
          <w:sz w:val="28"/>
          <w:szCs w:val="28"/>
        </w:rPr>
        <w:t>1.</w:t>
      </w:r>
      <w:r>
        <w:rPr>
          <w:rFonts w:hint="eastAsia"/>
        </w:rPr>
        <w:t xml:space="preserve"> </w:t>
      </w:r>
      <w:r>
        <w:rPr>
          <w:rFonts w:hint="eastAsia" w:ascii="仿宋" w:hAnsi="仿宋" w:eastAsia="仿宋"/>
          <w:bCs/>
          <w:sz w:val="28"/>
          <w:szCs w:val="28"/>
        </w:rPr>
        <w:t>PET-CT1室：长</w:t>
      </w:r>
      <w:r>
        <w:rPr>
          <w:rFonts w:ascii="仿宋" w:hAnsi="仿宋" w:eastAsia="仿宋"/>
          <w:bCs/>
          <w:sz w:val="28"/>
          <w:szCs w:val="28"/>
        </w:rPr>
        <w:t>8.54</w:t>
      </w:r>
      <w:r>
        <w:rPr>
          <w:rFonts w:hint="eastAsia" w:ascii="仿宋" w:hAnsi="仿宋" w:eastAsia="仿宋"/>
          <w:bCs/>
          <w:sz w:val="28"/>
          <w:szCs w:val="28"/>
        </w:rPr>
        <w:t>m，宽</w:t>
      </w:r>
      <w:r>
        <w:rPr>
          <w:rFonts w:ascii="仿宋" w:hAnsi="仿宋" w:eastAsia="仿宋"/>
          <w:bCs/>
          <w:sz w:val="28"/>
          <w:szCs w:val="28"/>
        </w:rPr>
        <w:t>5</w:t>
      </w:r>
      <w:r>
        <w:rPr>
          <w:rFonts w:hint="eastAsia" w:ascii="仿宋" w:hAnsi="仿宋" w:eastAsia="仿宋"/>
          <w:bCs/>
          <w:sz w:val="28"/>
          <w:szCs w:val="28"/>
        </w:rPr>
        <w:t>m，高3.</w:t>
      </w:r>
      <w:r>
        <w:rPr>
          <w:rFonts w:ascii="仿宋" w:hAnsi="仿宋" w:eastAsia="仿宋"/>
          <w:bCs/>
          <w:sz w:val="28"/>
          <w:szCs w:val="28"/>
        </w:rPr>
        <w:t>5</w:t>
      </w:r>
      <w:r>
        <w:rPr>
          <w:rFonts w:hint="eastAsia" w:ascii="仿宋" w:hAnsi="仿宋" w:eastAsia="仿宋"/>
          <w:bCs/>
          <w:sz w:val="28"/>
          <w:szCs w:val="28"/>
        </w:rPr>
        <w:t>m，墙体厚度为</w:t>
      </w:r>
      <w:r>
        <w:rPr>
          <w:rFonts w:ascii="仿宋" w:hAnsi="仿宋" w:eastAsia="仿宋"/>
          <w:bCs/>
          <w:sz w:val="28"/>
          <w:szCs w:val="28"/>
        </w:rPr>
        <w:t>50</w:t>
      </w:r>
      <w:r>
        <w:rPr>
          <w:rFonts w:hint="eastAsia" w:ascii="仿宋" w:hAnsi="仿宋" w:eastAsia="仿宋"/>
          <w:bCs/>
          <w:sz w:val="28"/>
          <w:szCs w:val="28"/>
        </w:rPr>
        <w:t>cm混凝土结构，防护门铅当量为</w:t>
      </w:r>
      <w:r>
        <w:rPr>
          <w:rFonts w:ascii="仿宋" w:hAnsi="仿宋" w:eastAsia="仿宋"/>
          <w:bCs/>
          <w:sz w:val="28"/>
          <w:szCs w:val="28"/>
        </w:rPr>
        <w:t>10mmPb</w:t>
      </w:r>
      <w:r>
        <w:rPr>
          <w:rFonts w:hint="eastAsia" w:ascii="仿宋" w:hAnsi="仿宋" w:eastAsia="仿宋"/>
          <w:bCs/>
          <w:sz w:val="28"/>
          <w:szCs w:val="28"/>
        </w:rPr>
        <w:t>，观察窗铅当量为</w:t>
      </w:r>
      <w:r>
        <w:rPr>
          <w:rFonts w:ascii="仿宋" w:hAnsi="仿宋" w:eastAsia="仿宋"/>
          <w:bCs/>
          <w:sz w:val="28"/>
          <w:szCs w:val="28"/>
        </w:rPr>
        <w:t>10mmPb</w:t>
      </w:r>
      <w:r>
        <w:rPr>
          <w:rFonts w:hint="eastAsia" w:ascii="仿宋" w:hAnsi="仿宋" w:eastAsia="仿宋"/>
          <w:bCs/>
          <w:sz w:val="28"/>
          <w:szCs w:val="28"/>
        </w:rPr>
        <w:t>；注射室（医生）：长3.06m，宽2.36m，高3.</w:t>
      </w:r>
      <w:r>
        <w:rPr>
          <w:rFonts w:ascii="仿宋" w:hAnsi="仿宋" w:eastAsia="仿宋"/>
          <w:bCs/>
          <w:sz w:val="28"/>
          <w:szCs w:val="28"/>
        </w:rPr>
        <w:t>5</w:t>
      </w:r>
      <w:r>
        <w:rPr>
          <w:rFonts w:hint="eastAsia" w:ascii="仿宋" w:hAnsi="仿宋" w:eastAsia="仿宋"/>
          <w:bCs/>
          <w:sz w:val="28"/>
          <w:szCs w:val="28"/>
        </w:rPr>
        <w:t>m，墙体厚度为南墙</w:t>
      </w:r>
      <w:r>
        <w:rPr>
          <w:rFonts w:ascii="仿宋" w:hAnsi="仿宋" w:eastAsia="仿宋"/>
          <w:bCs/>
          <w:sz w:val="28"/>
          <w:szCs w:val="28"/>
        </w:rPr>
        <w:t>30</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混凝土，西墙</w:t>
      </w:r>
      <w:r>
        <w:rPr>
          <w:rFonts w:ascii="仿宋" w:hAnsi="仿宋" w:eastAsia="仿宋"/>
          <w:bCs/>
          <w:sz w:val="28"/>
          <w:szCs w:val="28"/>
        </w:rPr>
        <w:t>30</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混凝土</w:t>
      </w:r>
      <w:r>
        <w:rPr>
          <w:rFonts w:ascii="仿宋" w:hAnsi="仿宋" w:eastAsia="仿宋"/>
          <w:bCs/>
          <w:sz w:val="28"/>
          <w:szCs w:val="28"/>
        </w:rPr>
        <w:t>+60mm</w:t>
      </w:r>
      <w:r>
        <w:rPr>
          <w:rFonts w:hint="eastAsia" w:ascii="仿宋" w:hAnsi="仿宋" w:eastAsia="仿宋"/>
          <w:bCs/>
          <w:sz w:val="28"/>
          <w:szCs w:val="28"/>
        </w:rPr>
        <w:t>钡水泥，东墙</w:t>
      </w:r>
      <w:r>
        <w:rPr>
          <w:rFonts w:ascii="仿宋" w:hAnsi="仿宋" w:eastAsia="仿宋"/>
          <w:bCs/>
          <w:sz w:val="28"/>
          <w:szCs w:val="28"/>
        </w:rPr>
        <w:t>24</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实心砖，北墙</w:t>
      </w:r>
      <w:r>
        <w:rPr>
          <w:rFonts w:ascii="仿宋" w:hAnsi="仿宋" w:eastAsia="仿宋"/>
          <w:bCs/>
          <w:sz w:val="28"/>
          <w:szCs w:val="28"/>
        </w:rPr>
        <w:t>24</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实心砖</w:t>
      </w:r>
      <w:r>
        <w:rPr>
          <w:rFonts w:ascii="仿宋" w:hAnsi="仿宋" w:eastAsia="仿宋"/>
          <w:bCs/>
          <w:sz w:val="28"/>
          <w:szCs w:val="28"/>
        </w:rPr>
        <w:t>+60mm</w:t>
      </w:r>
      <w:r>
        <w:rPr>
          <w:rFonts w:hint="eastAsia" w:ascii="仿宋" w:hAnsi="仿宋" w:eastAsia="仿宋"/>
          <w:bCs/>
          <w:sz w:val="28"/>
          <w:szCs w:val="28"/>
        </w:rPr>
        <w:t>钡水泥，防护门铅当量为南门12mmPb东门10mmPb，观察窗铅当量为6</w:t>
      </w:r>
      <w:r>
        <w:rPr>
          <w:rFonts w:ascii="仿宋" w:hAnsi="仿宋" w:eastAsia="仿宋"/>
          <w:bCs/>
          <w:sz w:val="28"/>
          <w:szCs w:val="28"/>
        </w:rPr>
        <w:t>0mmPb</w:t>
      </w:r>
      <w:r>
        <w:rPr>
          <w:rFonts w:hint="eastAsia" w:ascii="仿宋" w:hAnsi="仿宋" w:eastAsia="仿宋"/>
          <w:bCs/>
          <w:sz w:val="28"/>
          <w:szCs w:val="28"/>
        </w:rPr>
        <w:t>；注射室（患者）：长2.8m，宽1.0m，高3.</w:t>
      </w:r>
      <w:r>
        <w:rPr>
          <w:rFonts w:ascii="仿宋" w:hAnsi="仿宋" w:eastAsia="仿宋"/>
          <w:bCs/>
          <w:sz w:val="28"/>
          <w:szCs w:val="28"/>
        </w:rPr>
        <w:t>5</w:t>
      </w:r>
      <w:r>
        <w:rPr>
          <w:rFonts w:hint="eastAsia" w:ascii="仿宋" w:hAnsi="仿宋" w:eastAsia="仿宋"/>
          <w:bCs/>
          <w:sz w:val="28"/>
          <w:szCs w:val="28"/>
        </w:rPr>
        <w:t>m，墙体厚度为东墙、南墙为24cm实心砖墙+60mm钡水泥，西墙为30cm混凝土+20mm钡水泥，北墙为30cm混凝土，防护门铅当量为10mmPb；注射后候诊室（6间）：墙体厚度为外侧墙体为37cm实心砖墙+60mm钡水泥，其他墙体为37cm实心砖墙，防护门铅当量为10mmPb。经检测，均在正常范围之内。</w:t>
      </w:r>
    </w:p>
    <w:p>
      <w:pPr>
        <w:pStyle w:val="6"/>
        <w:snapToGrid w:val="0"/>
        <w:spacing w:line="360" w:lineRule="auto"/>
        <w:ind w:firstLine="560"/>
        <w:rPr>
          <w:rFonts w:ascii="仿宋" w:hAnsi="仿宋" w:eastAsia="仿宋"/>
          <w:bCs/>
          <w:sz w:val="28"/>
          <w:szCs w:val="28"/>
        </w:rPr>
      </w:pPr>
      <w:r>
        <w:rPr>
          <w:rFonts w:ascii="仿宋" w:hAnsi="仿宋" w:eastAsia="仿宋"/>
          <w:bCs/>
          <w:sz w:val="28"/>
          <w:szCs w:val="28"/>
        </w:rPr>
        <w:t>2.</w:t>
      </w:r>
      <w:r>
        <w:rPr>
          <w:rFonts w:hint="eastAsia"/>
        </w:rPr>
        <w:t xml:space="preserve"> </w:t>
      </w:r>
      <w:r>
        <w:rPr>
          <w:rFonts w:hint="eastAsia" w:ascii="仿宋" w:hAnsi="仿宋" w:eastAsia="仿宋"/>
          <w:bCs/>
          <w:sz w:val="28"/>
          <w:szCs w:val="28"/>
        </w:rPr>
        <w:t>质检分</w:t>
      </w:r>
      <w:r>
        <w:rPr>
          <w:rFonts w:hint="eastAsia" w:ascii="仿宋" w:hAnsi="仿宋" w:eastAsia="仿宋"/>
          <w:bCs/>
          <w:sz w:val="28"/>
          <w:szCs w:val="28"/>
          <w:lang w:eastAsia="zh-CN"/>
        </w:rPr>
        <w:t>装</w:t>
      </w:r>
      <w:r>
        <w:rPr>
          <w:rFonts w:hint="eastAsia" w:ascii="仿宋" w:hAnsi="仿宋" w:eastAsia="仿宋"/>
          <w:bCs/>
          <w:sz w:val="28"/>
          <w:szCs w:val="28"/>
        </w:rPr>
        <w:t>室设置通风橱一个，正面防护能力为50mmPb，配备专门的排风风机和排风管道，排风管道延伸至楼顶，管道外口距楼顶的高度约2米。项目所用核素的分装均在通风橱内进行。</w:t>
      </w:r>
    </w:p>
    <w:p>
      <w:pPr>
        <w:pStyle w:val="6"/>
        <w:snapToGrid w:val="0"/>
        <w:spacing w:line="360" w:lineRule="auto"/>
        <w:ind w:firstLine="560"/>
        <w:rPr>
          <w:rFonts w:ascii="仿宋" w:hAnsi="仿宋" w:eastAsia="仿宋" w:cstheme="minorBidi"/>
          <w:bCs/>
          <w:color w:val="000000" w:themeColor="text1"/>
          <w:sz w:val="28"/>
          <w:szCs w:val="28"/>
          <w14:textFill>
            <w14:solidFill>
              <w14:schemeClr w14:val="tx1"/>
            </w14:solidFill>
          </w14:textFill>
        </w:rPr>
      </w:pPr>
      <w:r>
        <w:rPr>
          <w:rFonts w:ascii="仿宋" w:hAnsi="仿宋" w:eastAsia="仿宋" w:cstheme="minorBidi"/>
          <w:bCs/>
          <w:color w:val="000000" w:themeColor="text1"/>
          <w:sz w:val="28"/>
          <w:szCs w:val="28"/>
          <w14:textFill>
            <w14:solidFill>
              <w14:schemeClr w14:val="tx1"/>
            </w14:solidFill>
          </w14:textFill>
        </w:rPr>
        <w:t>3.</w:t>
      </w:r>
      <w:r>
        <w:rPr>
          <w:rFonts w:hint="eastAsia"/>
        </w:rPr>
        <w:t xml:space="preserve"> </w:t>
      </w:r>
      <w:r>
        <w:rPr>
          <w:rFonts w:hint="eastAsia" w:ascii="仿宋" w:hAnsi="仿宋" w:eastAsia="仿宋" w:cstheme="minorBidi"/>
          <w:bCs/>
          <w:color w:val="000000" w:themeColor="text1"/>
          <w:sz w:val="28"/>
          <w:szCs w:val="28"/>
          <w14:textFill>
            <w14:solidFill>
              <w14:schemeClr w14:val="tx1"/>
            </w14:solidFill>
          </w14:textFill>
        </w:rPr>
        <w:t>PET-CT工作场所设有放射性废物储存间</w:t>
      </w:r>
      <w:r>
        <w:rPr>
          <w:rFonts w:hint="eastAsia" w:ascii="仿宋" w:hAnsi="仿宋" w:eastAsia="仿宋" w:cstheme="minorBidi"/>
          <w:bCs/>
          <w:color w:val="000000" w:themeColor="text1"/>
          <w:sz w:val="28"/>
          <w:szCs w:val="28"/>
          <w:lang w:eastAsia="zh-CN"/>
          <w14:textFill>
            <w14:solidFill>
              <w14:schemeClr w14:val="tx1"/>
            </w14:solidFill>
          </w14:textFill>
        </w:rPr>
        <w:t>，注射室配备</w:t>
      </w:r>
      <w:r>
        <w:rPr>
          <w:rFonts w:hint="eastAsia" w:ascii="仿宋" w:hAnsi="仿宋" w:eastAsia="仿宋" w:cstheme="minorBidi"/>
          <w:bCs/>
          <w:color w:val="000000" w:themeColor="text1"/>
          <w:sz w:val="28"/>
          <w:szCs w:val="28"/>
          <w14:textFill>
            <w14:solidFill>
              <w14:schemeClr w14:val="tx1"/>
            </w14:solidFill>
          </w14:textFill>
        </w:rPr>
        <w:t>放射性废物储存箱2个，污物间</w:t>
      </w:r>
      <w:r>
        <w:rPr>
          <w:rFonts w:hint="eastAsia" w:ascii="仿宋" w:hAnsi="仿宋" w:eastAsia="仿宋" w:cstheme="minorBidi"/>
          <w:bCs/>
          <w:color w:val="000000" w:themeColor="text1"/>
          <w:sz w:val="28"/>
          <w:szCs w:val="28"/>
          <w:lang w:eastAsia="zh-CN"/>
          <w14:textFill>
            <w14:solidFill>
              <w14:schemeClr w14:val="tx1"/>
            </w14:solidFill>
          </w14:textFill>
        </w:rPr>
        <w:t>及注药后候诊区</w:t>
      </w:r>
      <w:r>
        <w:rPr>
          <w:rFonts w:hint="eastAsia" w:ascii="仿宋" w:hAnsi="仿宋" w:eastAsia="仿宋" w:cstheme="minorBidi"/>
          <w:bCs/>
          <w:color w:val="000000" w:themeColor="text1"/>
          <w:sz w:val="28"/>
          <w:szCs w:val="28"/>
          <w14:textFill>
            <w14:solidFill>
              <w14:schemeClr w14:val="tx1"/>
            </w14:solidFill>
          </w14:textFill>
        </w:rPr>
        <w:t>各放置1个放射性废物储存箱，每个放射性废物储存箱容积为0.02m</w:t>
      </w:r>
      <w:r>
        <w:rPr>
          <w:rFonts w:hint="eastAsia" w:ascii="仿宋" w:hAnsi="仿宋" w:eastAsia="仿宋" w:cstheme="minorBidi"/>
          <w:bCs/>
          <w:color w:val="000000" w:themeColor="text1"/>
          <w:sz w:val="28"/>
          <w:szCs w:val="28"/>
          <w:vertAlign w:val="superscript"/>
          <w14:textFill>
            <w14:solidFill>
              <w14:schemeClr w14:val="tx1"/>
            </w14:solidFill>
          </w14:textFill>
        </w:rPr>
        <w:t>3</w:t>
      </w:r>
      <w:r>
        <w:rPr>
          <w:rFonts w:hint="eastAsia" w:ascii="仿宋" w:hAnsi="仿宋" w:eastAsia="仿宋" w:cstheme="minorBidi"/>
          <w:bCs/>
          <w:color w:val="000000" w:themeColor="text1"/>
          <w:sz w:val="28"/>
          <w:szCs w:val="28"/>
          <w14:textFill>
            <w14:solidFill>
              <w14:schemeClr w14:val="tx1"/>
            </w14:solidFill>
          </w14:textFill>
        </w:rPr>
        <w:t>。放射性废物储存箱为铅箱，防护效果为20mmPb，用于储存被放射性药物污染的工作人员手套、棉签等放射性</w:t>
      </w:r>
      <w:r>
        <w:rPr>
          <w:rFonts w:hint="eastAsia" w:ascii="仿宋" w:hAnsi="仿宋" w:eastAsia="仿宋" w:cstheme="minorBidi"/>
          <w:bCs/>
          <w:color w:val="000000" w:themeColor="text1"/>
          <w:sz w:val="28"/>
          <w:szCs w:val="28"/>
          <w:lang w:eastAsia="zh-CN"/>
          <w14:textFill>
            <w14:solidFill>
              <w14:schemeClr w14:val="tx1"/>
            </w14:solidFill>
          </w14:textFill>
        </w:rPr>
        <w:t>固体</w:t>
      </w:r>
      <w:r>
        <w:rPr>
          <w:rFonts w:hint="eastAsia" w:ascii="仿宋" w:hAnsi="仿宋" w:eastAsia="仿宋" w:cstheme="minorBidi"/>
          <w:bCs/>
          <w:color w:val="000000" w:themeColor="text1"/>
          <w:sz w:val="28"/>
          <w:szCs w:val="28"/>
          <w14:textFill>
            <w14:solidFill>
              <w14:schemeClr w14:val="tx1"/>
            </w14:solidFill>
          </w14:textFill>
        </w:rPr>
        <w:t>废物。</w:t>
      </w:r>
    </w:p>
    <w:p>
      <w:pPr>
        <w:pStyle w:val="6"/>
        <w:snapToGrid w:val="0"/>
        <w:spacing w:line="360" w:lineRule="auto"/>
        <w:ind w:firstLine="560"/>
        <w:rPr>
          <w:rFonts w:hint="eastAsia" w:ascii="仿宋" w:hAnsi="仿宋" w:eastAsia="仿宋" w:cstheme="minorBidi"/>
          <w:bCs/>
          <w:color w:val="000000" w:themeColor="text1"/>
          <w:sz w:val="28"/>
          <w:szCs w:val="28"/>
          <w14:textFill>
            <w14:solidFill>
              <w14:schemeClr w14:val="tx1"/>
            </w14:solidFill>
          </w14:textFill>
        </w:rPr>
      </w:pPr>
    </w:p>
    <w:p>
      <w:pPr>
        <w:pStyle w:val="6"/>
        <w:snapToGrid w:val="0"/>
        <w:spacing w:line="360" w:lineRule="auto"/>
        <w:ind w:firstLine="560"/>
        <w:rPr>
          <w:rFonts w:hint="eastAsia" w:ascii="仿宋" w:hAnsi="仿宋" w:eastAsia="仿宋" w:cstheme="minorBidi"/>
          <w:bCs/>
          <w:color w:val="000000" w:themeColor="text1"/>
          <w:sz w:val="28"/>
          <w:szCs w:val="28"/>
          <w14:textFill>
            <w14:solidFill>
              <w14:schemeClr w14:val="tx1"/>
            </w14:solidFill>
          </w14:textFill>
        </w:rPr>
      </w:pPr>
    </w:p>
    <w:p>
      <w:pPr>
        <w:pStyle w:val="6"/>
        <w:snapToGrid w:val="0"/>
        <w:spacing w:line="360" w:lineRule="auto"/>
        <w:ind w:firstLine="560"/>
        <w:rPr>
          <w:rFonts w:hint="eastAsia" w:ascii="仿宋" w:hAnsi="仿宋" w:eastAsia="仿宋" w:cstheme="minorBidi"/>
          <w:bCs/>
          <w:color w:val="000000" w:themeColor="text1"/>
          <w:sz w:val="28"/>
          <w:szCs w:val="28"/>
          <w14:textFill>
            <w14:solidFill>
              <w14:schemeClr w14:val="tx1"/>
            </w14:solidFill>
          </w14:textFill>
        </w:rPr>
      </w:pPr>
    </w:p>
    <w:p>
      <w:pPr>
        <w:pStyle w:val="6"/>
        <w:snapToGrid w:val="0"/>
        <w:spacing w:line="360" w:lineRule="auto"/>
        <w:ind w:firstLine="560"/>
        <w:rPr>
          <w:rFonts w:hint="eastAsia" w:ascii="仿宋" w:hAnsi="仿宋" w:eastAsia="仿宋" w:cstheme="minorBidi"/>
          <w:bCs/>
          <w:color w:val="000000" w:themeColor="text1"/>
          <w:sz w:val="28"/>
          <w:szCs w:val="28"/>
          <w14:textFill>
            <w14:solidFill>
              <w14:schemeClr w14:val="tx1"/>
            </w14:solidFill>
          </w14:textFill>
        </w:rPr>
      </w:pPr>
    </w:p>
    <w:p>
      <w:pPr>
        <w:pStyle w:val="6"/>
        <w:snapToGrid w:val="0"/>
        <w:spacing w:line="360" w:lineRule="auto"/>
        <w:ind w:firstLine="560"/>
        <w:rPr>
          <w:rFonts w:ascii="仿宋" w:hAnsi="仿宋" w:eastAsia="仿宋" w:cstheme="minorBidi"/>
          <w:bCs/>
          <w:color w:val="000000" w:themeColor="text1"/>
          <w:sz w:val="28"/>
          <w:szCs w:val="28"/>
          <w14:textFill>
            <w14:solidFill>
              <w14:schemeClr w14:val="tx1"/>
            </w14:solidFill>
          </w14:textFill>
        </w:rPr>
      </w:pPr>
      <w:r>
        <w:rPr>
          <w:rFonts w:hint="eastAsia" w:ascii="仿宋" w:hAnsi="仿宋" w:eastAsia="仿宋" w:cstheme="minorBidi"/>
          <w:bCs/>
          <w:color w:val="000000" w:themeColor="text1"/>
          <w:sz w:val="28"/>
          <w:szCs w:val="28"/>
          <w14:textFill>
            <w14:solidFill>
              <w14:schemeClr w14:val="tx1"/>
            </w14:solidFill>
          </w14:textFill>
        </w:rPr>
        <w:t>4.</w:t>
      </w:r>
      <w:r>
        <w:rPr>
          <w:rFonts w:hint="eastAsia"/>
        </w:rPr>
        <w:t xml:space="preserve"> </w:t>
      </w:r>
      <w:r>
        <w:rPr>
          <w:rFonts w:hint="eastAsia" w:ascii="仿宋" w:hAnsi="仿宋" w:eastAsia="仿宋" w:cstheme="minorBidi"/>
          <w:bCs/>
          <w:color w:val="000000" w:themeColor="text1"/>
          <w:sz w:val="28"/>
          <w:szCs w:val="28"/>
          <w14:textFill>
            <w14:solidFill>
              <w14:schemeClr w14:val="tx1"/>
            </w14:solidFill>
          </w14:textFill>
        </w:rPr>
        <w:t>PET-CT中心东侧花房空地的地下现有单独的放射性废水收集处理系统，医院少量冲洗水，含放射性核素的排泄物污水等放射性废水直接排入放射性废水收集处理系统。现有的5个衰变池，池底和池壁采用混凝土材料，坚固、防渗防腐。间歇排放，每个20m</w:t>
      </w:r>
      <w:r>
        <w:rPr>
          <w:rFonts w:hint="eastAsia" w:ascii="仿宋" w:hAnsi="仿宋" w:eastAsia="仿宋" w:cstheme="minorBidi"/>
          <w:bCs/>
          <w:color w:val="000000" w:themeColor="text1"/>
          <w:sz w:val="28"/>
          <w:szCs w:val="28"/>
          <w:vertAlign w:val="superscript"/>
          <w14:textFill>
            <w14:solidFill>
              <w14:schemeClr w14:val="tx1"/>
            </w14:solidFill>
          </w14:textFill>
        </w:rPr>
        <w:t>3</w:t>
      </w:r>
      <w:r>
        <w:rPr>
          <w:rFonts w:hint="eastAsia" w:ascii="仿宋" w:hAnsi="仿宋" w:eastAsia="仿宋" w:cstheme="minorBidi"/>
          <w:bCs/>
          <w:color w:val="000000" w:themeColor="text1"/>
          <w:sz w:val="28"/>
          <w:szCs w:val="28"/>
          <w14:textFill>
            <w14:solidFill>
              <w14:schemeClr w14:val="tx1"/>
            </w14:solidFill>
          </w14:textFill>
        </w:rPr>
        <w:t>，5个衰变池并联交替使用，每个衰变池收集1个月废水，然后再静止存放2个月后一次性排入医院总污水处理站。</w:t>
      </w:r>
    </w:p>
    <w:p>
      <w:pPr>
        <w:snapToGrid w:val="0"/>
        <w:spacing w:line="360" w:lineRule="auto"/>
        <w:ind w:firstLine="560"/>
        <w:rPr>
          <w:rFonts w:ascii="仿宋" w:hAnsi="仿宋" w:eastAsia="仿宋" w:cs="Courier New"/>
          <w:bCs/>
          <w:sz w:val="28"/>
          <w:szCs w:val="28"/>
        </w:rPr>
      </w:pPr>
      <w:r>
        <w:rPr>
          <w:rFonts w:ascii="仿宋" w:hAnsi="仿宋" w:eastAsia="仿宋"/>
          <w:bCs/>
          <w:sz w:val="28"/>
          <w:szCs w:val="28"/>
        </w:rPr>
        <w:t>5</w:t>
      </w:r>
      <w:r>
        <w:rPr>
          <w:rFonts w:hint="eastAsia" w:ascii="仿宋" w:hAnsi="仿宋" w:eastAsia="仿宋"/>
          <w:bCs/>
          <w:sz w:val="28"/>
          <w:szCs w:val="28"/>
        </w:rPr>
        <w:t>.</w:t>
      </w:r>
      <w:r>
        <w:rPr>
          <w:rFonts w:hint="eastAsia"/>
        </w:rPr>
        <w:t xml:space="preserve"> </w:t>
      </w:r>
      <w:r>
        <w:rPr>
          <w:rFonts w:hint="eastAsia" w:ascii="仿宋" w:hAnsi="仿宋" w:eastAsia="仿宋" w:cs="Courier New"/>
          <w:bCs/>
          <w:sz w:val="28"/>
          <w:szCs w:val="28"/>
        </w:rPr>
        <w:t>医院签订了辐射安全责任书，医院法人于金明为医院辐射工作安全责任人，制定专人刘娟娟负责放射性同位素与射线装置的安全和防护工作；制定了《放射性工作人员个人剂量管理制度》、《放射防护安全巡检制度》、《安全防护设施定期检查维护制度》、《放射防护管理制度》、《山东省肿瘤医院人员培训计划》、《仪器设备使用和管理制度》、《PET/CT机房及操作室管理制度》、《PET/CT放射性药品安全监督检查制度》、《PET/CT体内放射性药品的使用、观察制度》、《PET/CT放射性药品核对制度》、《PET/CT放射性药品登记、保管制度》等辐射防护管理制度和</w:t>
      </w:r>
      <w:r>
        <w:rPr>
          <w:rFonts w:ascii="仿宋" w:hAnsi="仿宋" w:eastAsia="仿宋" w:cs="Courier New"/>
          <w:bCs/>
          <w:sz w:val="28"/>
          <w:szCs w:val="28"/>
        </w:rPr>
        <w:t>操作规程，建立了辐射安全管理档案；编制了</w:t>
      </w:r>
      <w:r>
        <w:rPr>
          <w:rFonts w:hint="eastAsia" w:ascii="仿宋" w:hAnsi="仿宋" w:eastAsia="仿宋"/>
          <w:bCs/>
          <w:sz w:val="28"/>
          <w:szCs w:val="28"/>
        </w:rPr>
        <w:t>《山东省肿瘤防治研究院放射性事故应急预案》，</w:t>
      </w:r>
      <w:r>
        <w:rPr>
          <w:rFonts w:ascii="仿宋" w:hAnsi="仿宋" w:eastAsia="仿宋"/>
          <w:bCs/>
          <w:sz w:val="28"/>
          <w:szCs w:val="28"/>
        </w:rPr>
        <w:t>并进行了应急演练；</w:t>
      </w:r>
      <w:r>
        <w:rPr>
          <w:rFonts w:hint="eastAsia" w:ascii="仿宋" w:hAnsi="仿宋" w:eastAsia="仿宋"/>
          <w:bCs/>
          <w:sz w:val="28"/>
          <w:szCs w:val="28"/>
        </w:rPr>
        <w:t>编制了《山东省肿瘤防治研究院2019年放射性同位素与射线装置安全和防护状况评估报告》，已报送山东省生态环境厅、济南市生态环境局、济南市生态环境局槐荫分局。</w:t>
      </w:r>
    </w:p>
    <w:p>
      <w:pPr>
        <w:snapToGrid w:val="0"/>
        <w:spacing w:line="360" w:lineRule="auto"/>
        <w:ind w:firstLine="56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w:t>
      </w:r>
      <w:r>
        <w:rPr>
          <w:rFonts w:hint="eastAsia"/>
        </w:rPr>
        <w:t xml:space="preserve"> </w:t>
      </w:r>
      <w:r>
        <w:rPr>
          <w:rFonts w:hint="eastAsia" w:ascii="仿宋" w:hAnsi="仿宋" w:eastAsia="仿宋"/>
          <w:bCs/>
          <w:sz w:val="28"/>
          <w:szCs w:val="28"/>
        </w:rPr>
        <w:t>该项目共有辐射工作人员12人，均已参加了初级辐射安全知识培训，并取得了初级辐射安全培训合格证书。辐射工作人员均配备了个人剂量计，进行了个人剂量监测，建立了个人剂量档案。</w:t>
      </w:r>
    </w:p>
    <w:p>
      <w:pPr>
        <w:snapToGrid w:val="0"/>
        <w:spacing w:line="360" w:lineRule="auto"/>
        <w:ind w:firstLine="560"/>
        <w:rPr>
          <w:rFonts w:hint="eastAsia"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 xml:space="preserve"> 个人剂量监测结果表明,</w:t>
      </w:r>
      <w:r>
        <w:rPr>
          <w:rFonts w:ascii="仿宋" w:hAnsi="仿宋" w:eastAsia="仿宋"/>
          <w:bCs/>
          <w:sz w:val="28"/>
          <w:szCs w:val="28"/>
        </w:rPr>
        <w:t>12</w:t>
      </w:r>
      <w:r>
        <w:rPr>
          <w:rFonts w:hint="eastAsia" w:ascii="仿宋" w:hAnsi="仿宋" w:eastAsia="仿宋"/>
          <w:bCs/>
          <w:sz w:val="28"/>
          <w:szCs w:val="28"/>
        </w:rPr>
        <w:t>名辐射工作人员年有效剂量低于《电离辐射防护与辐射源安全基本标准》(GB18871-2002)中规定职业人员的剂量限值</w:t>
      </w: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20mSv/a，也低于环评中提出的2.0mSv/a的管理约束值。经估算，公众年有效剂量低于《电离辐射防护与辐射源安全基本标准》(GB18871-2002)中规定公众剂量限值1mSv/a，也低于环评中提出的0.</w:t>
      </w:r>
      <w:r>
        <w:rPr>
          <w:rFonts w:ascii="仿宋" w:hAnsi="仿宋" w:eastAsia="仿宋"/>
          <w:bCs/>
          <w:sz w:val="28"/>
          <w:szCs w:val="28"/>
        </w:rPr>
        <w:t>25</w:t>
      </w:r>
      <w:r>
        <w:rPr>
          <w:rFonts w:hint="eastAsia" w:ascii="仿宋" w:hAnsi="仿宋" w:eastAsia="仿宋"/>
          <w:bCs/>
          <w:sz w:val="28"/>
          <w:szCs w:val="28"/>
        </w:rPr>
        <w:t>mSv/a的管理约束值。</w:t>
      </w:r>
    </w:p>
    <w:p>
      <w:pPr>
        <w:snapToGrid w:val="0"/>
        <w:spacing w:line="360" w:lineRule="auto"/>
        <w:ind w:firstLine="56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场所产生的固体废物主要是留置针头、手套、药棉、纱布、吸水纸等，医院设置放射性固废衰变箱，放射性固体废物在衰变箱停留衰变达到解控水平后按一般医疗废物处置。</w:t>
      </w:r>
    </w:p>
    <w:p>
      <w:pPr>
        <w:snapToGrid w:val="0"/>
        <w:spacing w:line="360" w:lineRule="auto"/>
        <w:ind w:firstLine="56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设置</w:t>
      </w:r>
      <w:r>
        <w:rPr>
          <w:rFonts w:ascii="仿宋" w:hAnsi="仿宋" w:eastAsia="仿宋"/>
          <w:bCs/>
          <w:sz w:val="28"/>
          <w:szCs w:val="28"/>
        </w:rPr>
        <w:t>电离辐射警告标志、工作状态指示灯、对讲系统、监控系统</w:t>
      </w:r>
      <w:r>
        <w:rPr>
          <w:rFonts w:hint="eastAsia" w:ascii="仿宋" w:hAnsi="仿宋" w:eastAsia="仿宋"/>
          <w:bCs/>
          <w:sz w:val="28"/>
          <w:szCs w:val="28"/>
        </w:rPr>
        <w:t>、</w:t>
      </w:r>
      <w:r>
        <w:rPr>
          <w:rFonts w:ascii="仿宋" w:hAnsi="仿宋" w:eastAsia="仿宋"/>
          <w:bCs/>
          <w:sz w:val="28"/>
          <w:szCs w:val="28"/>
        </w:rPr>
        <w:t>门</w:t>
      </w:r>
      <w:r>
        <w:rPr>
          <w:rFonts w:hint="eastAsia" w:ascii="仿宋" w:hAnsi="仿宋" w:eastAsia="仿宋"/>
          <w:bCs/>
          <w:sz w:val="28"/>
          <w:szCs w:val="28"/>
        </w:rPr>
        <w:t>灯</w:t>
      </w:r>
      <w:r>
        <w:rPr>
          <w:rFonts w:ascii="仿宋" w:hAnsi="仿宋" w:eastAsia="仿宋"/>
          <w:bCs/>
          <w:sz w:val="28"/>
          <w:szCs w:val="28"/>
        </w:rPr>
        <w:t>连锁装置和急停按钮。配备</w:t>
      </w:r>
      <w:r>
        <w:rPr>
          <w:rFonts w:hint="eastAsia" w:ascii="仿宋" w:hAnsi="仿宋" w:eastAsia="仿宋"/>
          <w:bCs/>
          <w:sz w:val="28"/>
          <w:szCs w:val="28"/>
        </w:rPr>
        <w:t>1台环境级X</w:t>
      </w:r>
      <w:r>
        <w:rPr>
          <w:rFonts w:ascii="仿宋" w:hAnsi="仿宋" w:eastAsia="仿宋"/>
          <w:bCs/>
          <w:sz w:val="28"/>
          <w:szCs w:val="28"/>
        </w:rPr>
        <w:t>-</w:t>
      </w:r>
      <w:r>
        <w:rPr>
          <w:rFonts w:hint="eastAsia" w:ascii="仿宋" w:hAnsi="仿宋" w:eastAsia="仿宋"/>
          <w:bCs/>
          <w:sz w:val="28"/>
          <w:szCs w:val="28"/>
        </w:rPr>
        <w:t>γ剂量率仪和1台β、γ射线检测仪</w:t>
      </w:r>
      <w:r>
        <w:rPr>
          <w:rFonts w:hint="eastAsia" w:ascii="仿宋" w:hAnsi="仿宋" w:eastAsia="仿宋"/>
          <w:bCs/>
          <w:sz w:val="28"/>
          <w:szCs w:val="28"/>
          <w:lang w:eastAsia="zh-CN"/>
        </w:rPr>
        <w:t>、</w:t>
      </w:r>
      <w:r>
        <w:rPr>
          <w:rFonts w:hint="eastAsia" w:ascii="仿宋" w:hAnsi="仿宋" w:eastAsia="仿宋"/>
          <w:bCs/>
          <w:color w:val="000000" w:themeColor="text1"/>
          <w:sz w:val="28"/>
          <w:szCs w:val="28"/>
          <w14:textFill>
            <w14:solidFill>
              <w14:schemeClr w14:val="tx1"/>
            </w14:solidFill>
          </w14:textFill>
        </w:rPr>
        <w:t>个人剂量报警</w:t>
      </w:r>
      <w:r>
        <w:rPr>
          <w:rFonts w:hint="eastAsia" w:ascii="仿宋" w:hAnsi="仿宋" w:eastAsia="仿宋"/>
          <w:bCs/>
          <w:color w:val="000000" w:themeColor="text1"/>
          <w:sz w:val="28"/>
          <w:szCs w:val="28"/>
          <w:lang w:eastAsia="zh-CN"/>
          <w14:textFill>
            <w14:solidFill>
              <w14:schemeClr w14:val="tx1"/>
            </w14:solidFill>
          </w14:textFill>
        </w:rPr>
        <w:t>仪</w:t>
      </w:r>
      <w:r>
        <w:rPr>
          <w:rFonts w:hint="eastAsia" w:ascii="仿宋" w:hAnsi="仿宋" w:eastAsia="仿宋"/>
          <w:bCs/>
          <w:sz w:val="28"/>
          <w:szCs w:val="28"/>
        </w:rPr>
        <w:t>。</w:t>
      </w:r>
    </w:p>
    <w:p>
      <w:pPr>
        <w:snapToGrid w:val="0"/>
        <w:spacing w:line="360" w:lineRule="auto"/>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该医院配备了与辐射类型和辐射水平相适应的防护用品和</w:t>
      </w:r>
      <w:r>
        <w:rPr>
          <w:rFonts w:hint="eastAsia" w:ascii="仿宋" w:hAnsi="仿宋" w:eastAsia="仿宋"/>
          <w:bCs/>
          <w:color w:val="000000" w:themeColor="text1"/>
          <w:sz w:val="28"/>
          <w:szCs w:val="28"/>
          <w:lang w:eastAsia="zh-CN"/>
          <w14:textFill>
            <w14:solidFill>
              <w14:schemeClr w14:val="tx1"/>
            </w14:solidFill>
          </w14:textFill>
        </w:rPr>
        <w:t>辅助防护设施</w:t>
      </w:r>
      <w:r>
        <w:rPr>
          <w:rFonts w:hint="eastAsia" w:ascii="仿宋" w:hAnsi="仿宋" w:eastAsia="仿宋"/>
          <w:bCs/>
          <w:color w:val="000000" w:themeColor="text1"/>
          <w:sz w:val="28"/>
          <w:szCs w:val="28"/>
          <w14:textFill>
            <w14:solidFill>
              <w14:schemeClr w14:val="tx1"/>
            </w14:solidFill>
          </w14:textFill>
        </w:rPr>
        <w:t>，包括</w:t>
      </w:r>
      <w:r>
        <w:rPr>
          <w:rFonts w:hint="eastAsia" w:ascii="仿宋" w:hAnsi="仿宋" w:eastAsia="仿宋"/>
          <w:bCs/>
          <w:color w:val="000000" w:themeColor="text1"/>
          <w:sz w:val="28"/>
          <w:szCs w:val="28"/>
          <w:lang w:eastAsia="zh-CN"/>
          <w14:textFill>
            <w14:solidFill>
              <w14:schemeClr w14:val="tx1"/>
            </w14:solidFill>
          </w14:textFill>
        </w:rPr>
        <w:t>铅衣、铅罐、铅屏风、药物自动注射仪</w:t>
      </w:r>
      <w:r>
        <w:rPr>
          <w:rFonts w:hint="eastAsia" w:ascii="仿宋" w:hAnsi="仿宋" w:eastAsia="仿宋"/>
          <w:bCs/>
          <w:color w:val="000000" w:themeColor="text1"/>
          <w:sz w:val="28"/>
          <w:szCs w:val="28"/>
          <w14:textFill>
            <w14:solidFill>
              <w14:schemeClr w14:val="tx1"/>
            </w14:solidFill>
          </w14:textFill>
        </w:rPr>
        <w:t>等。</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三、验收监测结果</w:t>
      </w:r>
    </w:p>
    <w:p>
      <w:pPr>
        <w:snapToGrid w:val="0"/>
        <w:spacing w:line="360" w:lineRule="auto"/>
        <w:ind w:firstLine="560"/>
        <w:rPr>
          <w:rFonts w:ascii="仿宋" w:hAnsi="仿宋" w:eastAsia="仿宋"/>
          <w:bCs/>
          <w:sz w:val="28"/>
          <w:szCs w:val="28"/>
        </w:rPr>
      </w:pPr>
      <w:r>
        <w:rPr>
          <w:rFonts w:ascii="仿宋" w:hAnsi="仿宋" w:eastAsia="仿宋"/>
          <w:bCs/>
          <w:sz w:val="28"/>
          <w:szCs w:val="28"/>
        </w:rPr>
        <w:t>PET-CT在非工作状态下X-γ辐射剂量率为（86.4～</w:t>
      </w:r>
      <w:r>
        <w:rPr>
          <w:rFonts w:hint="eastAsia" w:ascii="仿宋" w:hAnsi="仿宋" w:eastAsia="仿宋"/>
          <w:bCs/>
          <w:sz w:val="28"/>
          <w:szCs w:val="28"/>
        </w:rPr>
        <w:t>1</w:t>
      </w:r>
      <w:r>
        <w:rPr>
          <w:rFonts w:ascii="仿宋" w:hAnsi="仿宋" w:eastAsia="仿宋"/>
          <w:bCs/>
          <w:sz w:val="28"/>
          <w:szCs w:val="28"/>
        </w:rPr>
        <w:t>05）nSv/h，处于</w:t>
      </w:r>
      <w:r>
        <w:rPr>
          <w:rFonts w:hint="eastAsia" w:ascii="仿宋" w:hAnsi="仿宋" w:eastAsia="仿宋"/>
          <w:bCs/>
          <w:sz w:val="28"/>
          <w:szCs w:val="28"/>
        </w:rPr>
        <w:t>济南</w:t>
      </w:r>
      <w:r>
        <w:rPr>
          <w:rFonts w:ascii="仿宋" w:hAnsi="仿宋" w:eastAsia="仿宋"/>
          <w:bCs/>
          <w:sz w:val="28"/>
          <w:szCs w:val="28"/>
        </w:rPr>
        <w:t>市环境天然放射性本底水平范围内。工作状态下，机房周围X-γ辐射剂量率最大值为</w:t>
      </w:r>
      <w:r>
        <w:rPr>
          <w:rFonts w:hint="eastAsia" w:ascii="仿宋" w:hAnsi="仿宋" w:eastAsia="仿宋"/>
          <w:bCs/>
          <w:sz w:val="28"/>
          <w:szCs w:val="28"/>
        </w:rPr>
        <w:t>329</w:t>
      </w:r>
      <w:r>
        <w:rPr>
          <w:rFonts w:ascii="仿宋" w:hAnsi="仿宋" w:eastAsia="仿宋"/>
          <w:bCs/>
          <w:sz w:val="28"/>
          <w:szCs w:val="28"/>
        </w:rPr>
        <w:t>nSv/h，低于《医用X射线诊断放射防护要求》（GBZ130-2013）中规定的标准限值（2.5</w:t>
      </w:r>
      <w:r>
        <w:rPr>
          <w:rFonts w:ascii="Calibri" w:hAnsi="Calibri" w:eastAsia="仿宋" w:cs="Calibri"/>
          <w:bCs/>
          <w:sz w:val="28"/>
          <w:szCs w:val="28"/>
        </w:rPr>
        <w:t>µ</w:t>
      </w:r>
      <w:r>
        <w:rPr>
          <w:rFonts w:ascii="仿宋" w:hAnsi="仿宋" w:eastAsia="仿宋"/>
          <w:bCs/>
          <w:sz w:val="28"/>
          <w:szCs w:val="28"/>
        </w:rPr>
        <w:t>Sv/h）。</w:t>
      </w:r>
    </w:p>
    <w:p>
      <w:pPr>
        <w:snapToGrid w:val="0"/>
        <w:spacing w:line="360" w:lineRule="auto"/>
        <w:ind w:firstLine="560"/>
        <w:rPr>
          <w:rFonts w:ascii="仿宋" w:hAnsi="仿宋" w:eastAsia="仿宋"/>
          <w:bCs/>
          <w:sz w:val="28"/>
          <w:szCs w:val="28"/>
        </w:rPr>
      </w:pPr>
      <w:r>
        <w:rPr>
          <w:rFonts w:ascii="仿宋" w:hAnsi="仿宋" w:eastAsia="仿宋"/>
          <w:bCs/>
          <w:sz w:val="28"/>
          <w:szCs w:val="28"/>
        </w:rPr>
        <w:t>控制区表面污染监测结果最大值为</w:t>
      </w:r>
      <w:r>
        <w:rPr>
          <w:rFonts w:hint="eastAsia" w:ascii="仿宋" w:hAnsi="仿宋" w:eastAsia="仿宋"/>
          <w:bCs/>
          <w:sz w:val="28"/>
          <w:szCs w:val="28"/>
        </w:rPr>
        <w:t>0.</w:t>
      </w:r>
      <w:r>
        <w:rPr>
          <w:rFonts w:ascii="仿宋" w:hAnsi="仿宋" w:eastAsia="仿宋"/>
          <w:bCs/>
          <w:sz w:val="28"/>
          <w:szCs w:val="28"/>
        </w:rPr>
        <w:t>16Bq/cm</w:t>
      </w:r>
      <w:r>
        <w:rPr>
          <w:rFonts w:ascii="仿宋" w:hAnsi="仿宋" w:eastAsia="仿宋"/>
          <w:bCs/>
          <w:sz w:val="28"/>
          <w:szCs w:val="28"/>
          <w:vertAlign w:val="superscript"/>
        </w:rPr>
        <w:t>2</w:t>
      </w:r>
      <w:r>
        <w:rPr>
          <w:rFonts w:ascii="仿宋" w:hAnsi="仿宋" w:eastAsia="仿宋"/>
          <w:bCs/>
          <w:sz w:val="28"/>
          <w:szCs w:val="28"/>
        </w:rPr>
        <w:t>，监督区表面污染监测结果最大值为</w:t>
      </w:r>
      <w:r>
        <w:rPr>
          <w:rFonts w:hint="eastAsia" w:ascii="仿宋" w:hAnsi="仿宋" w:eastAsia="仿宋"/>
          <w:bCs/>
          <w:sz w:val="28"/>
          <w:szCs w:val="28"/>
        </w:rPr>
        <w:t>本底水平</w:t>
      </w:r>
      <w:r>
        <w:rPr>
          <w:rFonts w:ascii="仿宋" w:hAnsi="仿宋" w:eastAsia="仿宋"/>
          <w:bCs/>
          <w:sz w:val="28"/>
          <w:szCs w:val="28"/>
        </w:rPr>
        <w:t>，满足《电离辐射防护与辐射源安全基本标准》（GB18871-2002）的控制水平要求。</w:t>
      </w:r>
    </w:p>
    <w:p>
      <w:pPr>
        <w:snapToGrid w:val="0"/>
        <w:spacing w:line="360" w:lineRule="auto"/>
        <w:ind w:firstLine="560"/>
        <w:rPr>
          <w:rFonts w:ascii="仿宋" w:hAnsi="仿宋" w:eastAsia="仿宋"/>
          <w:bCs/>
          <w:sz w:val="28"/>
          <w:szCs w:val="28"/>
        </w:rPr>
      </w:pPr>
      <w:r>
        <w:rPr>
          <w:rFonts w:ascii="仿宋" w:hAnsi="仿宋" w:eastAsia="仿宋"/>
          <w:bCs/>
          <w:sz w:val="28"/>
          <w:szCs w:val="28"/>
        </w:rPr>
        <w:t>衰变池出口废水总α日均值为</w:t>
      </w:r>
      <w:r>
        <w:rPr>
          <w:rFonts w:hint="eastAsia" w:ascii="仿宋" w:hAnsi="仿宋" w:eastAsia="仿宋"/>
          <w:bCs/>
          <w:sz w:val="28"/>
          <w:szCs w:val="28"/>
        </w:rPr>
        <w:t>0.011</w:t>
      </w:r>
      <w:r>
        <w:rPr>
          <w:rFonts w:ascii="仿宋" w:hAnsi="仿宋" w:eastAsia="仿宋"/>
          <w:bCs/>
          <w:sz w:val="28"/>
          <w:szCs w:val="28"/>
        </w:rPr>
        <w:t>Bq/L，总β日均值为0.</w:t>
      </w:r>
      <w:r>
        <w:rPr>
          <w:rFonts w:hint="eastAsia" w:ascii="仿宋" w:hAnsi="仿宋" w:eastAsia="仿宋"/>
          <w:bCs/>
          <w:sz w:val="28"/>
          <w:szCs w:val="28"/>
        </w:rPr>
        <w:t>378</w:t>
      </w:r>
      <w:r>
        <w:rPr>
          <w:rFonts w:ascii="仿宋" w:hAnsi="仿宋" w:eastAsia="仿宋"/>
          <w:bCs/>
          <w:sz w:val="28"/>
          <w:szCs w:val="28"/>
        </w:rPr>
        <w:t>Bq/L，满足《医疗机构水污染物排放标准》（GB18466-2005）日均值总α1Bq/L，总</w:t>
      </w:r>
    </w:p>
    <w:p>
      <w:pPr>
        <w:snapToGrid w:val="0"/>
        <w:spacing w:line="360" w:lineRule="auto"/>
        <w:ind w:firstLine="560"/>
        <w:rPr>
          <w:rFonts w:ascii="仿宋" w:hAnsi="仿宋" w:eastAsia="仿宋"/>
          <w:bCs/>
          <w:sz w:val="28"/>
          <w:szCs w:val="28"/>
        </w:rPr>
      </w:pPr>
    </w:p>
    <w:p>
      <w:pPr>
        <w:snapToGrid w:val="0"/>
        <w:spacing w:line="360" w:lineRule="auto"/>
        <w:ind w:firstLine="560"/>
        <w:rPr>
          <w:rFonts w:ascii="仿宋" w:hAnsi="仿宋" w:eastAsia="仿宋"/>
          <w:bCs/>
          <w:sz w:val="28"/>
          <w:szCs w:val="28"/>
        </w:rPr>
      </w:pPr>
    </w:p>
    <w:p>
      <w:pPr>
        <w:snapToGrid w:val="0"/>
        <w:spacing w:line="360" w:lineRule="auto"/>
        <w:ind w:firstLine="560"/>
        <w:rPr>
          <w:rFonts w:ascii="仿宋" w:hAnsi="仿宋" w:eastAsia="仿宋"/>
          <w:bCs/>
          <w:sz w:val="28"/>
          <w:szCs w:val="28"/>
        </w:rPr>
      </w:pPr>
    </w:p>
    <w:p>
      <w:pPr>
        <w:snapToGrid w:val="0"/>
        <w:spacing w:line="360" w:lineRule="auto"/>
        <w:ind w:firstLine="560"/>
        <w:rPr>
          <w:rFonts w:ascii="仿宋" w:hAnsi="仿宋" w:eastAsia="仿宋"/>
          <w:bCs/>
          <w:sz w:val="28"/>
          <w:szCs w:val="28"/>
        </w:rPr>
      </w:pPr>
    </w:p>
    <w:p>
      <w:pPr>
        <w:snapToGrid w:val="0"/>
        <w:spacing w:line="360" w:lineRule="auto"/>
        <w:ind w:left="0" w:leftChars="0" w:firstLine="0" w:firstLineChars="0"/>
        <w:rPr>
          <w:rFonts w:ascii="仿宋" w:hAnsi="仿宋" w:eastAsia="仿宋"/>
          <w:bCs/>
          <w:sz w:val="28"/>
          <w:szCs w:val="28"/>
        </w:rPr>
      </w:pPr>
      <w:r>
        <w:rPr>
          <w:rFonts w:ascii="仿宋" w:hAnsi="仿宋" w:eastAsia="仿宋"/>
          <w:bCs/>
          <w:sz w:val="28"/>
          <w:szCs w:val="28"/>
        </w:rPr>
        <w:t>β10Bq/L的限值要求。</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四、验收结论</w:t>
      </w:r>
      <w:bookmarkStart w:id="0" w:name="_GoBack"/>
      <w:bookmarkEnd w:id="0"/>
    </w:p>
    <w:p>
      <w:pPr>
        <w:snapToGrid w:val="0"/>
        <w:spacing w:line="360" w:lineRule="auto"/>
        <w:ind w:firstLine="560"/>
        <w:rPr>
          <w:rFonts w:ascii="仿宋" w:hAnsi="仿宋" w:eastAsia="仿宋"/>
          <w:sz w:val="28"/>
          <w:szCs w:val="28"/>
        </w:rPr>
      </w:pPr>
      <w:r>
        <w:rPr>
          <w:rFonts w:hint="eastAsia" w:ascii="仿宋" w:hAnsi="仿宋" w:eastAsia="仿宋"/>
          <w:bCs/>
          <w:sz w:val="28"/>
          <w:szCs w:val="28"/>
        </w:rPr>
        <w:t>项目环保手续齐全，基本落实了环境影响报告表及批复中的各项要求，辐射安全与防护措施有效，辐射安全管理制度齐全，验收监测结果满足要求，符合建设项目竣工环境保护验收条件，通过验收</w:t>
      </w:r>
      <w:r>
        <w:rPr>
          <w:rFonts w:ascii="仿宋" w:hAnsi="仿宋" w:eastAsia="仿宋"/>
          <w:sz w:val="28"/>
          <w:szCs w:val="28"/>
        </w:rPr>
        <w:t>。</w:t>
      </w:r>
    </w:p>
    <w:p>
      <w:pPr>
        <w:snapToGrid w:val="0"/>
        <w:spacing w:line="360" w:lineRule="auto"/>
        <w:ind w:firstLine="570" w:firstLineChars="0"/>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right="140" w:firstLine="570" w:firstLineChars="0"/>
        <w:jc w:val="right"/>
        <w:rPr>
          <w:rFonts w:ascii="仿宋" w:hAnsi="仿宋" w:eastAsia="仿宋"/>
          <w:sz w:val="28"/>
          <w:szCs w:val="28"/>
        </w:rPr>
      </w:pPr>
      <w:r>
        <w:rPr>
          <w:rFonts w:hint="eastAsia" w:ascii="仿宋" w:hAnsi="仿宋" w:eastAsia="仿宋"/>
          <w:bCs/>
          <w:sz w:val="28"/>
          <w:szCs w:val="28"/>
        </w:rPr>
        <w:t xml:space="preserve">验收工作组 </w:t>
      </w:r>
      <w:r>
        <w:rPr>
          <w:rFonts w:ascii="仿宋" w:hAnsi="仿宋" w:eastAsia="仿宋"/>
          <w:bCs/>
          <w:sz w:val="28"/>
          <w:szCs w:val="28"/>
        </w:rPr>
        <w:t xml:space="preserve">    </w:t>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t xml:space="preserve">                                        20</w:t>
      </w:r>
      <w:r>
        <w:rPr>
          <w:rFonts w:ascii="仿宋" w:hAnsi="仿宋" w:eastAsia="仿宋" w:cs="Times New Roman"/>
          <w:sz w:val="28"/>
          <w:szCs w:val="28"/>
        </w:rPr>
        <w:t>20</w:t>
      </w:r>
      <w:r>
        <w:rPr>
          <w:rFonts w:hint="eastAsia" w:ascii="仿宋" w:hAnsi="仿宋" w:eastAsia="仿宋" w:cs="Times New Roman"/>
          <w:sz w:val="28"/>
          <w:szCs w:val="28"/>
        </w:rPr>
        <w:t>年</w:t>
      </w:r>
      <w:r>
        <w:rPr>
          <w:rFonts w:ascii="仿宋" w:hAnsi="仿宋" w:eastAsia="仿宋" w:cs="Times New Roman"/>
          <w:sz w:val="28"/>
          <w:szCs w:val="28"/>
        </w:rPr>
        <w:t>9</w:t>
      </w:r>
      <w:r>
        <w:rPr>
          <w:rFonts w:hint="eastAsia" w:ascii="仿宋" w:hAnsi="仿宋" w:eastAsia="仿宋" w:cs="Times New Roman"/>
          <w:sz w:val="28"/>
          <w:szCs w:val="28"/>
        </w:rPr>
        <w:t>月2</w:t>
      </w:r>
      <w:r>
        <w:rPr>
          <w:rFonts w:ascii="仿宋" w:hAnsi="仿宋" w:eastAsia="仿宋" w:cs="Times New Roman"/>
          <w:sz w:val="28"/>
          <w:szCs w:val="28"/>
        </w:rPr>
        <w:t>7</w:t>
      </w:r>
      <w:r>
        <w:rPr>
          <w:rFonts w:hint="eastAsia" w:ascii="仿宋" w:hAnsi="仿宋" w:eastAsia="仿宋" w:cs="Times New Roman"/>
          <w:sz w:val="28"/>
          <w:szCs w:val="28"/>
        </w:rPr>
        <w:t>日</w:t>
      </w:r>
    </w:p>
    <w:p>
      <w:pPr>
        <w:widowControl/>
        <w:spacing w:line="240" w:lineRule="auto"/>
        <w:ind w:firstLine="0" w:firstLineChars="0"/>
        <w:jc w:val="left"/>
        <w:rPr>
          <w:rFonts w:ascii="仿宋" w:hAnsi="仿宋" w:eastAsia="仿宋" w:cs="Times New Roman"/>
          <w:sz w:val="28"/>
          <w:szCs w:val="28"/>
        </w:rPr>
      </w:pPr>
      <w:r>
        <w:rPr>
          <w:rFonts w:ascii="仿宋" w:hAnsi="仿宋" w:eastAsia="仿宋" w:cs="Times New Roman"/>
          <w:sz w:val="28"/>
          <w:szCs w:val="28"/>
        </w:rPr>
        <w:br w:type="page"/>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drawing>
          <wp:inline distT="0" distB="0" distL="0" distR="0">
            <wp:extent cx="5264785" cy="7652385"/>
            <wp:effectExtent l="0" t="0" r="0" b="5715"/>
            <wp:docPr id="2" name="图片 2" descr="D:\360MoveData\Users\l\Desktop\1601285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60MoveData\Users\l\Desktop\160128525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4785" cy="7652385"/>
                    </a:xfrm>
                    <a:prstGeom prst="rect">
                      <a:avLst/>
                    </a:prstGeom>
                    <a:noFill/>
                    <a:ln>
                      <a:noFill/>
                    </a:ln>
                  </pic:spPr>
                </pic:pic>
              </a:graphicData>
            </a:graphic>
          </wp:inline>
        </w:drawing>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236" w:bottom="1440" w:left="1236"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9337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5pt;width:23.1pt;mso-position-horizontal:center;mso-position-horizontal-relative:margin;mso-wrap-style:none;z-index:251658240;mso-width-relative:page;mso-height-relative:page;" filled="f" stroked="f" coordsize="21600,21600" o:gfxdata="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Oz/dtIAAAADAQAADwAAAAAAAAABACAAAAAi&#10;AAAAZHJzL2Rvd25yZXYueG1sUEsBAhQAFAAAAAgAh07iQHwyylIQAgAABQQAAA4AAAAAAAAAAQAg&#10;AAAAIQEAAGRycy9lMm9Eb2MueG1sUEsFBgAAAAAGAAYAWQEAAKMFA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E3662"/>
    <w:multiLevelType w:val="singleLevel"/>
    <w:tmpl w:val="E7EE36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702"/>
    <w:rsid w:val="000A65CC"/>
    <w:rsid w:val="000A72C4"/>
    <w:rsid w:val="00107E8E"/>
    <w:rsid w:val="001156F5"/>
    <w:rsid w:val="00132CBE"/>
    <w:rsid w:val="00156817"/>
    <w:rsid w:val="001644B3"/>
    <w:rsid w:val="00172A27"/>
    <w:rsid w:val="0018538F"/>
    <w:rsid w:val="001A252A"/>
    <w:rsid w:val="001F27F7"/>
    <w:rsid w:val="0025780E"/>
    <w:rsid w:val="002A0B9D"/>
    <w:rsid w:val="003004A0"/>
    <w:rsid w:val="003768D0"/>
    <w:rsid w:val="00384A81"/>
    <w:rsid w:val="003E583F"/>
    <w:rsid w:val="00406F80"/>
    <w:rsid w:val="00421043"/>
    <w:rsid w:val="004233B0"/>
    <w:rsid w:val="004C5B5D"/>
    <w:rsid w:val="004C7C75"/>
    <w:rsid w:val="00513D37"/>
    <w:rsid w:val="00523DD4"/>
    <w:rsid w:val="005344E5"/>
    <w:rsid w:val="005418F4"/>
    <w:rsid w:val="00592F65"/>
    <w:rsid w:val="00594825"/>
    <w:rsid w:val="005952F3"/>
    <w:rsid w:val="005B17C3"/>
    <w:rsid w:val="005D0EC6"/>
    <w:rsid w:val="006A3553"/>
    <w:rsid w:val="00746434"/>
    <w:rsid w:val="007A05CA"/>
    <w:rsid w:val="007B475B"/>
    <w:rsid w:val="007D5FAA"/>
    <w:rsid w:val="007F5DA7"/>
    <w:rsid w:val="007F7F05"/>
    <w:rsid w:val="00827E01"/>
    <w:rsid w:val="00842AEB"/>
    <w:rsid w:val="0085027B"/>
    <w:rsid w:val="00853F39"/>
    <w:rsid w:val="00885C2C"/>
    <w:rsid w:val="0094119C"/>
    <w:rsid w:val="009A426B"/>
    <w:rsid w:val="00A52BD5"/>
    <w:rsid w:val="00AC6603"/>
    <w:rsid w:val="00AF6D58"/>
    <w:rsid w:val="00B00DF4"/>
    <w:rsid w:val="00B34726"/>
    <w:rsid w:val="00B440F7"/>
    <w:rsid w:val="00B97CCE"/>
    <w:rsid w:val="00BA48E1"/>
    <w:rsid w:val="00BC078F"/>
    <w:rsid w:val="00BD0D9F"/>
    <w:rsid w:val="00BF4A99"/>
    <w:rsid w:val="00C501C3"/>
    <w:rsid w:val="00D178FC"/>
    <w:rsid w:val="00D41B1A"/>
    <w:rsid w:val="00D93285"/>
    <w:rsid w:val="00E02D82"/>
    <w:rsid w:val="00E03BCF"/>
    <w:rsid w:val="00E22C81"/>
    <w:rsid w:val="00E564DD"/>
    <w:rsid w:val="00E90E8D"/>
    <w:rsid w:val="00E91BD2"/>
    <w:rsid w:val="00E92348"/>
    <w:rsid w:val="00E95F98"/>
    <w:rsid w:val="00EF043E"/>
    <w:rsid w:val="00F0295D"/>
    <w:rsid w:val="00F5169E"/>
    <w:rsid w:val="00FA0C6A"/>
    <w:rsid w:val="00FB4A5C"/>
    <w:rsid w:val="00FF422E"/>
    <w:rsid w:val="08326F8F"/>
    <w:rsid w:val="0B8E26D6"/>
    <w:rsid w:val="0E927C9E"/>
    <w:rsid w:val="0F2A49B4"/>
    <w:rsid w:val="101A24A7"/>
    <w:rsid w:val="1424055C"/>
    <w:rsid w:val="153F21B7"/>
    <w:rsid w:val="157C3D99"/>
    <w:rsid w:val="18CA08B6"/>
    <w:rsid w:val="1966684B"/>
    <w:rsid w:val="1B0E763F"/>
    <w:rsid w:val="1C712192"/>
    <w:rsid w:val="1E9F2BA7"/>
    <w:rsid w:val="2285182C"/>
    <w:rsid w:val="24F0054E"/>
    <w:rsid w:val="2A4E6F8B"/>
    <w:rsid w:val="37872B77"/>
    <w:rsid w:val="40B35210"/>
    <w:rsid w:val="471D1756"/>
    <w:rsid w:val="4C636095"/>
    <w:rsid w:val="4C9A4348"/>
    <w:rsid w:val="4F43571F"/>
    <w:rsid w:val="526C13AB"/>
    <w:rsid w:val="53763481"/>
    <w:rsid w:val="53871BE9"/>
    <w:rsid w:val="56287F3B"/>
    <w:rsid w:val="5B0E1010"/>
    <w:rsid w:val="5C7C554E"/>
    <w:rsid w:val="73191CC3"/>
    <w:rsid w:val="77557266"/>
    <w:rsid w:val="783247C5"/>
    <w:rsid w:val="7D601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hint="eastAsia" w:ascii="Calibri" w:hAnsi="Calibri"/>
      <w:b/>
      <w:kern w:val="44"/>
      <w:sz w:val="32"/>
      <w:szCs w:val="22"/>
    </w:rPr>
  </w:style>
  <w:style w:type="paragraph" w:styleId="3">
    <w:name w:val="heading 2"/>
    <w:basedOn w:val="1"/>
    <w:next w:val="1"/>
    <w:link w:val="15"/>
    <w:unhideWhenUsed/>
    <w:qFormat/>
    <w:uiPriority w:val="0"/>
    <w:pPr>
      <w:keepNext/>
      <w:keepLines/>
      <w:spacing w:line="360" w:lineRule="auto"/>
      <w:jc w:val="left"/>
      <w:outlineLvl w:val="1"/>
    </w:pPr>
    <w:rPr>
      <w:rFonts w:ascii="Arial" w:hAnsi="Arial" w:eastAsia="宋体"/>
      <w:sz w:val="30"/>
    </w:rPr>
  </w:style>
  <w:style w:type="paragraph" w:styleId="4">
    <w:name w:val="heading 4"/>
    <w:basedOn w:val="1"/>
    <w:next w:val="1"/>
    <w:unhideWhenUsed/>
    <w:qFormat/>
    <w:uiPriority w:val="0"/>
    <w:pPr>
      <w:keepNext/>
      <w:keepLines/>
      <w:spacing w:before="50" w:beforeLines="50" w:after="50" w:afterLines="50" w:line="360" w:lineRule="auto"/>
      <w:ind w:firstLine="0" w:firstLineChars="0"/>
      <w:outlineLvl w:val="3"/>
    </w:pPr>
    <w:rPr>
      <w:rFonts w:ascii="Arial" w:hAnsi="Arial" w:eastAsia="宋体"/>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Body Text Indent"/>
    <w:basedOn w:val="1"/>
    <w:link w:val="19"/>
    <w:uiPriority w:val="0"/>
    <w:pPr>
      <w:spacing w:after="120"/>
      <w:ind w:left="420" w:leftChars="200"/>
    </w:pPr>
  </w:style>
  <w:style w:type="paragraph" w:styleId="6">
    <w:name w:val="Plain Text"/>
    <w:basedOn w:val="1"/>
    <w:link w:val="17"/>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99"/>
    <w:pPr>
      <w:widowControl/>
      <w:spacing w:before="100" w:beforeAutospacing="1" w:after="100" w:afterAutospacing="1"/>
      <w:jc w:val="left"/>
    </w:pPr>
    <w:rPr>
      <w:rFonts w:ascii="宋体" w:hAnsi="宋体"/>
      <w:kern w:val="0"/>
    </w:rPr>
  </w:style>
  <w:style w:type="paragraph" w:styleId="10">
    <w:name w:val="Body Text First Indent 2"/>
    <w:basedOn w:val="5"/>
    <w:link w:val="18"/>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link w:val="3"/>
    <w:qFormat/>
    <w:uiPriority w:val="0"/>
    <w:rPr>
      <w:rFonts w:ascii="Arial" w:hAnsi="Arial" w:eastAsia="宋体"/>
      <w:sz w:val="30"/>
    </w:rPr>
  </w:style>
  <w:style w:type="paragraph" w:styleId="16">
    <w:name w:val="List Paragraph"/>
    <w:basedOn w:val="1"/>
    <w:qFormat/>
    <w:uiPriority w:val="99"/>
    <w:pPr>
      <w:ind w:firstLine="420"/>
    </w:pPr>
  </w:style>
  <w:style w:type="character" w:customStyle="1" w:styleId="17">
    <w:name w:val="纯文本 Char"/>
    <w:basedOn w:val="13"/>
    <w:link w:val="6"/>
    <w:qFormat/>
    <w:uiPriority w:val="0"/>
    <w:rPr>
      <w:rFonts w:ascii="宋体" w:hAnsi="Courier New" w:cs="Courier New"/>
      <w:kern w:val="2"/>
      <w:sz w:val="21"/>
      <w:szCs w:val="21"/>
    </w:rPr>
  </w:style>
  <w:style w:type="character" w:customStyle="1" w:styleId="18">
    <w:name w:val="正文首行缩进 2 Char"/>
    <w:basedOn w:val="19"/>
    <w:link w:val="10"/>
    <w:qFormat/>
    <w:uiPriority w:val="0"/>
    <w:rPr>
      <w:rFonts w:hint="default" w:ascii="Calibri" w:hAnsi="Calibri" w:eastAsia="宋体" w:cs="Times New Roman"/>
      <w:kern w:val="2"/>
      <w:sz w:val="21"/>
      <w:szCs w:val="22"/>
    </w:rPr>
  </w:style>
  <w:style w:type="character" w:customStyle="1" w:styleId="19">
    <w:name w:val="正文文本缩进 Char"/>
    <w:basedOn w:val="13"/>
    <w:link w:val="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436</Words>
  <Characters>2489</Characters>
  <Lines>20</Lines>
  <Paragraphs>5</Paragraphs>
  <TotalTime>16</TotalTime>
  <ScaleCrop>false</ScaleCrop>
  <LinksUpToDate>false</LinksUpToDate>
  <CharactersWithSpaces>2920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相忘于江湖</dc:creator>
  <cp:lastModifiedBy>辉</cp:lastModifiedBy>
  <cp:lastPrinted>2020-09-29T02:42:44Z</cp:lastPrinted>
  <dcterms:modified xsi:type="dcterms:W3CDTF">2020-09-29T02:44:36Z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