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rPr>
          <w:rFonts w:hint="eastAsia" w:ascii="宋体" w:hAnsi="宋体" w:eastAsia="宋体" w:cs="宋体"/>
          <w:b/>
          <w:bCs/>
          <w:sz w:val="32"/>
          <w:szCs w:val="32"/>
          <w:u w:val="none"/>
        </w:rPr>
      </w:pPr>
      <w:r>
        <w:rPr>
          <w:rFonts w:hint="eastAsia" w:ascii="宋体" w:hAnsi="宋体" w:eastAsia="宋体" w:cs="宋体"/>
          <w:b/>
          <w:bCs/>
          <w:sz w:val="32"/>
          <w:szCs w:val="32"/>
          <w:u w:val="none"/>
        </w:rPr>
        <w:t>山东第一医科大学附属肿瘤医院（山东省肿瘤防治研究院、山东省肿瘤医院）医用电子加速器应用项目（一期）</w:t>
      </w:r>
    </w:p>
    <w:p>
      <w:pPr>
        <w:spacing w:line="360" w:lineRule="auto"/>
        <w:ind w:firstLine="0" w:firstLineChars="0"/>
        <w:jc w:val="center"/>
        <w:rPr>
          <w:rFonts w:ascii="宋体" w:hAnsi="宋体" w:eastAsia="宋体" w:cs="宋体"/>
          <w:b/>
          <w:bCs/>
          <w:sz w:val="32"/>
          <w:szCs w:val="32"/>
          <w:u w:val="none"/>
        </w:rPr>
      </w:pPr>
      <w:r>
        <w:rPr>
          <w:rFonts w:hint="eastAsia" w:ascii="宋体" w:hAnsi="宋体" w:eastAsia="宋体" w:cs="宋体"/>
          <w:b/>
          <w:bCs/>
          <w:sz w:val="32"/>
          <w:szCs w:val="32"/>
          <w:u w:val="none"/>
        </w:rPr>
        <w:t>竣工环境保护验收意见</w:t>
      </w:r>
    </w:p>
    <w:p>
      <w:pPr>
        <w:pStyle w:val="4"/>
        <w:spacing w:line="560" w:lineRule="exact"/>
        <w:ind w:firstLine="560"/>
        <w:rPr>
          <w:rFonts w:hAnsi="宋体" w:cs="宋体"/>
          <w:bCs/>
          <w:sz w:val="28"/>
          <w:szCs w:val="28"/>
          <w:u w:val="none"/>
        </w:rPr>
      </w:pPr>
      <w:r>
        <w:rPr>
          <w:rFonts w:hint="eastAsia" w:hAnsi="宋体" w:cs="宋体"/>
          <w:bCs/>
          <w:sz w:val="28"/>
          <w:szCs w:val="28"/>
          <w:u w:val="none"/>
        </w:rPr>
        <w:t xml:space="preserve">2021年7月27日，山东第一医科大学附属肿瘤医院（山东省肿瘤防治研究院、山东省肿瘤医院）在济南组织召开医用电子加速器应用项目（一期）竣工环保验收工作组会议。参加会议的单位有建设单位山东第一医科大学附属肿瘤医院（山东省肿瘤防治研究院、山东省肿瘤医院），验收单位山东鲁环检测科技有限公司，并邀请三位专家，组成验收工作组（名单附后）。山东第一医科大学附属肿瘤医院（山东省肿瘤防治研究院、山东省肿瘤医院）根据山东鲁环检测科技有限公司编制的《山东第一医科大学附属肿瘤医院（山东省肿瘤防治研究院、山东省肿瘤医院）医用电子加速器应用项目（一期）竣工环境保护验收监测报告表》，并对照《建设项目竣工环境保护验收暂行办法》，严格依照国家相关法律法规、建设项目竣工环境保护验收技术指南、本项目环境影响评价报告表和审批部门审批意见等要求对本项目进行验收，验收工作组经现场勘察、查阅资料并认真讨论，提出意见如下：  </w:t>
      </w:r>
    </w:p>
    <w:p>
      <w:pPr>
        <w:spacing w:line="360" w:lineRule="auto"/>
        <w:ind w:firstLine="562"/>
        <w:jc w:val="left"/>
        <w:rPr>
          <w:rFonts w:ascii="宋体" w:hAnsi="宋体" w:eastAsia="宋体" w:cs="宋体"/>
          <w:b/>
          <w:bCs/>
          <w:sz w:val="28"/>
          <w:szCs w:val="28"/>
          <w:u w:val="none"/>
        </w:rPr>
      </w:pPr>
      <w:r>
        <w:rPr>
          <w:rFonts w:hint="eastAsia" w:ascii="宋体" w:hAnsi="宋体" w:eastAsia="宋体" w:cs="宋体"/>
          <w:b/>
          <w:bCs/>
          <w:sz w:val="28"/>
          <w:szCs w:val="28"/>
          <w:u w:val="none"/>
        </w:rPr>
        <w:t>一</w:t>
      </w:r>
      <w:r>
        <w:rPr>
          <w:rFonts w:hint="eastAsia" w:ascii="宋体" w:hAnsi="宋体" w:eastAsia="宋体" w:cs="宋体"/>
          <w:bCs/>
          <w:sz w:val="28"/>
          <w:szCs w:val="28"/>
          <w:u w:val="none"/>
        </w:rPr>
        <w:t>、</w:t>
      </w:r>
      <w:r>
        <w:rPr>
          <w:rFonts w:hint="eastAsia" w:ascii="宋体" w:hAnsi="宋体" w:eastAsia="宋体" w:cs="宋体"/>
          <w:b/>
          <w:bCs/>
          <w:sz w:val="28"/>
          <w:szCs w:val="28"/>
          <w:u w:val="none"/>
        </w:rPr>
        <w:t>工程建设基本情况</w:t>
      </w:r>
    </w:p>
    <w:p>
      <w:pPr>
        <w:pStyle w:val="4"/>
        <w:spacing w:line="560" w:lineRule="exact"/>
        <w:ind w:firstLine="560"/>
        <w:rPr>
          <w:rFonts w:hint="eastAsia" w:hAnsi="宋体" w:cs="宋体"/>
          <w:bCs/>
          <w:sz w:val="28"/>
          <w:szCs w:val="28"/>
          <w:u w:val="none"/>
        </w:rPr>
      </w:pPr>
      <w:r>
        <w:rPr>
          <w:rFonts w:hint="eastAsia" w:hAnsi="宋体" w:cs="宋体"/>
          <w:bCs/>
          <w:sz w:val="28"/>
          <w:szCs w:val="28"/>
          <w:u w:val="none"/>
        </w:rPr>
        <w:t>项目位于济南市槐荫区京台高速以西，烟台路延长线以北技术创新与临床转化平台项目（现命名为：山东省质子中心）医疗综合楼地下一层。</w:t>
      </w:r>
    </w:p>
    <w:p>
      <w:pPr>
        <w:pStyle w:val="4"/>
        <w:spacing w:line="560" w:lineRule="exact"/>
        <w:ind w:firstLine="560"/>
        <w:rPr>
          <w:rFonts w:hAnsi="宋体" w:cs="宋体"/>
          <w:bCs/>
          <w:sz w:val="28"/>
          <w:szCs w:val="28"/>
          <w:u w:val="none"/>
        </w:rPr>
      </w:pPr>
      <w:r>
        <w:rPr>
          <w:rFonts w:hAnsi="宋体" w:cs="宋体"/>
          <w:bCs/>
          <w:sz w:val="28"/>
          <w:szCs w:val="28"/>
          <w:u w:val="none"/>
        </w:rPr>
        <w:t>2019年6月27日济南市生态环境局</w:t>
      </w:r>
      <w:r>
        <w:rPr>
          <w:rFonts w:hint="eastAsia" w:hAnsi="宋体" w:cs="宋体"/>
          <w:bCs/>
          <w:sz w:val="28"/>
          <w:szCs w:val="28"/>
          <w:u w:val="none"/>
        </w:rPr>
        <w:t>以</w:t>
      </w:r>
      <w:r>
        <w:rPr>
          <w:rFonts w:hAnsi="宋体" w:cs="宋体"/>
          <w:bCs/>
          <w:sz w:val="28"/>
          <w:szCs w:val="28"/>
          <w:u w:val="none"/>
        </w:rPr>
        <w:t>济环辐表审[2019]31号</w:t>
      </w:r>
      <w:r>
        <w:rPr>
          <w:rFonts w:hint="eastAsia" w:hAnsi="宋体" w:cs="宋体"/>
          <w:bCs/>
          <w:sz w:val="28"/>
          <w:szCs w:val="28"/>
          <w:u w:val="none"/>
        </w:rPr>
        <w:t>批复了《</w:t>
      </w:r>
      <w:r>
        <w:rPr>
          <w:rFonts w:hAnsi="宋体" w:cs="宋体"/>
          <w:bCs/>
          <w:sz w:val="28"/>
          <w:szCs w:val="28"/>
          <w:u w:val="none"/>
        </w:rPr>
        <w:t>山东省肿瘤防治研究院核医学工作场所及医用电子加速器应用项目</w:t>
      </w:r>
      <w:r>
        <w:rPr>
          <w:rFonts w:hint="eastAsia" w:hAnsi="宋体" w:cs="宋体"/>
          <w:bCs/>
          <w:sz w:val="28"/>
          <w:szCs w:val="28"/>
          <w:u w:val="none"/>
        </w:rPr>
        <w:t>环境影响报告表》。项目环评建设规模为</w:t>
      </w:r>
      <w:r>
        <w:rPr>
          <w:rFonts w:hAnsi="宋体" w:cs="宋体"/>
          <w:bCs/>
          <w:sz w:val="28"/>
          <w:szCs w:val="28"/>
          <w:u w:val="none"/>
        </w:rPr>
        <w:t>核医学工作场所及</w:t>
      </w:r>
      <w:r>
        <w:rPr>
          <w:rFonts w:hint="eastAsia" w:hAnsi="宋体" w:cs="宋体"/>
          <w:bCs/>
          <w:sz w:val="28"/>
          <w:szCs w:val="28"/>
          <w:u w:val="none"/>
        </w:rPr>
        <w:t xml:space="preserve">4台直线加速器，本次验收规模为3台直线加速器，属II类射线装置。  </w:t>
      </w:r>
    </w:p>
    <w:p>
      <w:pPr>
        <w:pStyle w:val="4"/>
        <w:spacing w:line="560" w:lineRule="exact"/>
        <w:ind w:firstLine="560"/>
        <w:rPr>
          <w:rFonts w:hAnsi="宋体" w:cs="宋体"/>
          <w:bCs/>
          <w:sz w:val="28"/>
          <w:szCs w:val="28"/>
          <w:u w:val="none"/>
        </w:rPr>
      </w:pPr>
      <w:r>
        <w:rPr>
          <w:rFonts w:hAnsi="宋体" w:cs="宋体"/>
          <w:bCs/>
          <w:sz w:val="28"/>
          <w:szCs w:val="28"/>
          <w:u w:val="none"/>
        </w:rPr>
        <w:t>2021年5月11日，山东第一医科大学附属肿瘤医院（山东省肿瘤防治研究院、山东省肿瘤医院）</w:t>
      </w:r>
      <w:r>
        <w:rPr>
          <w:rFonts w:hint="eastAsia" w:hAnsi="宋体" w:cs="宋体"/>
          <w:bCs/>
          <w:sz w:val="28"/>
          <w:szCs w:val="28"/>
          <w:u w:val="none"/>
        </w:rPr>
        <w:t>延续了山东省生态环境厅颁发的</w:t>
      </w:r>
      <w:r>
        <w:rPr>
          <w:rFonts w:hAnsi="宋体" w:cs="宋体"/>
          <w:bCs/>
          <w:sz w:val="28"/>
          <w:szCs w:val="28"/>
          <w:u w:val="none"/>
        </w:rPr>
        <w:t>辐射安全许可证，</w:t>
      </w:r>
      <w:r>
        <w:rPr>
          <w:rFonts w:hint="eastAsia" w:hAnsi="宋体" w:cs="宋体"/>
          <w:bCs/>
          <w:sz w:val="28"/>
          <w:szCs w:val="28"/>
          <w:u w:val="none"/>
        </w:rPr>
        <w:t>证书编号为：</w:t>
      </w:r>
      <w:r>
        <w:rPr>
          <w:rFonts w:hAnsi="宋体" w:cs="宋体"/>
          <w:bCs/>
          <w:sz w:val="28"/>
          <w:szCs w:val="28"/>
          <w:u w:val="none"/>
        </w:rPr>
        <w:t>鲁环辐证〔01066〕</w:t>
      </w:r>
      <w:r>
        <w:rPr>
          <w:rFonts w:hint="eastAsia" w:hAnsi="宋体" w:cs="宋体"/>
          <w:bCs/>
          <w:sz w:val="28"/>
          <w:szCs w:val="28"/>
          <w:u w:val="none"/>
        </w:rPr>
        <w:t>，</w:t>
      </w:r>
      <w:r>
        <w:rPr>
          <w:rFonts w:hAnsi="宋体" w:cs="宋体"/>
          <w:bCs/>
          <w:sz w:val="28"/>
          <w:szCs w:val="28"/>
          <w:u w:val="none"/>
        </w:rPr>
        <w:t>种类和范围为“使用I类、III类、V类放射源，使用II类、</w:t>
      </w:r>
      <w:r>
        <w:rPr>
          <w:rFonts w:hAnsi="宋体" w:cs="宋体"/>
          <w:bCs/>
          <w:sz w:val="28"/>
          <w:szCs w:val="28"/>
          <w:u w:val="none"/>
        </w:rPr>
        <w:fldChar w:fldCharType="begin"/>
      </w:r>
      <w:r>
        <w:rPr>
          <w:rFonts w:hAnsi="宋体" w:cs="宋体"/>
          <w:bCs/>
          <w:sz w:val="28"/>
          <w:szCs w:val="28"/>
          <w:u w:val="none"/>
        </w:rPr>
        <w:instrText xml:space="preserve"> = 3 \* ROMAN </w:instrText>
      </w:r>
      <w:r>
        <w:rPr>
          <w:rFonts w:hAnsi="宋体" w:cs="宋体"/>
          <w:bCs/>
          <w:sz w:val="28"/>
          <w:szCs w:val="28"/>
          <w:u w:val="none"/>
        </w:rPr>
        <w:fldChar w:fldCharType="separate"/>
      </w:r>
      <w:r>
        <w:rPr>
          <w:rFonts w:hAnsi="宋体" w:cs="宋体"/>
          <w:bCs/>
          <w:sz w:val="28"/>
          <w:szCs w:val="28"/>
          <w:u w:val="none"/>
        </w:rPr>
        <w:t>III</w:t>
      </w:r>
      <w:r>
        <w:rPr>
          <w:rFonts w:hAnsi="宋体" w:cs="宋体"/>
          <w:bCs/>
          <w:sz w:val="28"/>
          <w:szCs w:val="28"/>
          <w:u w:val="none"/>
        </w:rPr>
        <w:fldChar w:fldCharType="end"/>
      </w:r>
      <w:r>
        <w:rPr>
          <w:rFonts w:hAnsi="宋体" w:cs="宋体"/>
          <w:bCs/>
          <w:sz w:val="28"/>
          <w:szCs w:val="28"/>
          <w:u w:val="none"/>
        </w:rPr>
        <w:t>类射线装置，使用非密封放射性物质，乙级、丙级非密封放射性物质工作场所”。有效期至2023年11月15日。</w:t>
      </w:r>
    </w:p>
    <w:p>
      <w:pPr>
        <w:spacing w:line="360" w:lineRule="auto"/>
        <w:ind w:firstLine="562"/>
        <w:jc w:val="left"/>
        <w:rPr>
          <w:rFonts w:ascii="宋体" w:hAnsi="宋体" w:eastAsia="宋体" w:cs="宋体"/>
          <w:b/>
          <w:bCs/>
          <w:sz w:val="28"/>
          <w:szCs w:val="28"/>
          <w:u w:val="none"/>
        </w:rPr>
      </w:pPr>
      <w:r>
        <w:rPr>
          <w:rFonts w:hint="eastAsia" w:ascii="宋体" w:hAnsi="宋体" w:eastAsia="宋体" w:cs="宋体"/>
          <w:b/>
          <w:bCs/>
          <w:sz w:val="28"/>
          <w:szCs w:val="28"/>
          <w:u w:val="none"/>
        </w:rPr>
        <w:t>二、项目变动情况</w:t>
      </w:r>
    </w:p>
    <w:p>
      <w:pPr>
        <w:spacing w:line="540" w:lineRule="exact"/>
        <w:ind w:firstLine="560"/>
        <w:rPr>
          <w:rFonts w:ascii="宋体" w:hAnsi="宋体" w:eastAsia="宋体" w:cs="宋体"/>
          <w:bCs/>
          <w:sz w:val="28"/>
          <w:szCs w:val="28"/>
          <w:u w:val="none"/>
        </w:rPr>
      </w:pPr>
      <w:r>
        <w:rPr>
          <w:rFonts w:hint="eastAsia" w:ascii="宋体" w:hAnsi="宋体" w:eastAsia="宋体" w:cs="宋体"/>
          <w:bCs/>
          <w:sz w:val="28"/>
          <w:szCs w:val="28"/>
          <w:u w:val="none"/>
        </w:rPr>
        <w:t>经查阅环评报告与批复要求及现场核实，本次验收项目的建设位置、项目性质、建设规模符合环评报告和批复内容要求。</w:t>
      </w:r>
    </w:p>
    <w:p>
      <w:pPr>
        <w:spacing w:line="360" w:lineRule="auto"/>
        <w:ind w:firstLine="562"/>
        <w:rPr>
          <w:rFonts w:ascii="宋体" w:hAnsi="宋体" w:eastAsia="宋体" w:cs="宋体"/>
          <w:b/>
          <w:sz w:val="28"/>
          <w:szCs w:val="28"/>
          <w:u w:val="none"/>
        </w:rPr>
      </w:pPr>
      <w:r>
        <w:rPr>
          <w:rFonts w:hint="eastAsia" w:ascii="宋体" w:hAnsi="宋体" w:eastAsia="宋体" w:cs="宋体"/>
          <w:b/>
          <w:sz w:val="28"/>
          <w:szCs w:val="28"/>
          <w:u w:val="none"/>
        </w:rPr>
        <w:t>三、环境保护设施及措施落实情况</w:t>
      </w:r>
    </w:p>
    <w:p>
      <w:pPr>
        <w:spacing w:line="540" w:lineRule="exact"/>
        <w:ind w:firstLine="560"/>
        <w:rPr>
          <w:rFonts w:hint="eastAsia" w:ascii="宋体" w:hAnsi="宋体" w:eastAsia="宋体" w:cs="宋体"/>
          <w:bCs/>
          <w:sz w:val="28"/>
          <w:szCs w:val="28"/>
          <w:u w:val="none"/>
        </w:rPr>
      </w:pPr>
      <w:r>
        <w:rPr>
          <w:rFonts w:ascii="宋体" w:hAnsi="宋体" w:eastAsia="宋体" w:cs="宋体"/>
          <w:bCs/>
          <w:sz w:val="28"/>
          <w:szCs w:val="28"/>
          <w:u w:val="none"/>
        </w:rPr>
        <w:t>本项目放疗科新上3台医用电子加速器（直加治疗室1室Varian Halcyon型1台、直加治疗室</w:t>
      </w:r>
      <w:r>
        <w:rPr>
          <w:rFonts w:hint="eastAsia" w:ascii="宋体" w:hAnsi="宋体" w:eastAsia="宋体" w:cs="宋体"/>
          <w:bCs/>
          <w:sz w:val="28"/>
          <w:szCs w:val="28"/>
          <w:u w:val="none"/>
        </w:rPr>
        <w:t>2</w:t>
      </w:r>
      <w:r>
        <w:rPr>
          <w:rFonts w:ascii="宋体" w:hAnsi="宋体" w:eastAsia="宋体" w:cs="宋体"/>
          <w:bCs/>
          <w:sz w:val="28"/>
          <w:szCs w:val="28"/>
          <w:u w:val="none"/>
        </w:rPr>
        <w:t>室Varian Vitalbeam型1台和直加治疗室</w:t>
      </w:r>
      <w:r>
        <w:rPr>
          <w:rFonts w:hint="eastAsia" w:ascii="宋体" w:hAnsi="宋体" w:eastAsia="宋体" w:cs="宋体"/>
          <w:bCs/>
          <w:sz w:val="28"/>
          <w:szCs w:val="28"/>
          <w:u w:val="none"/>
        </w:rPr>
        <w:t>3</w:t>
      </w:r>
      <w:r>
        <w:rPr>
          <w:rFonts w:ascii="宋体" w:hAnsi="宋体" w:eastAsia="宋体" w:cs="宋体"/>
          <w:bCs/>
          <w:sz w:val="28"/>
          <w:szCs w:val="28"/>
          <w:u w:val="none"/>
        </w:rPr>
        <w:t>室Varian Truebeam型1台），加速器放疗工作场所位于医疗综合楼负一层东南角，辐射工作场所分布相对集中，布局合理</w:t>
      </w:r>
      <w:r>
        <w:rPr>
          <w:rFonts w:hint="eastAsia" w:ascii="宋体" w:hAnsi="宋体" w:eastAsia="宋体" w:cs="宋体"/>
          <w:bCs/>
          <w:sz w:val="28"/>
          <w:szCs w:val="28"/>
          <w:u w:val="none"/>
        </w:rPr>
        <w:t>，</w:t>
      </w:r>
      <w:r>
        <w:rPr>
          <w:rFonts w:ascii="宋体" w:hAnsi="宋体" w:eastAsia="宋体" w:cs="宋体"/>
          <w:bCs/>
          <w:sz w:val="28"/>
          <w:szCs w:val="28"/>
          <w:u w:val="none"/>
        </w:rPr>
        <w:t>划分了控制区与监督区</w:t>
      </w:r>
      <w:r>
        <w:rPr>
          <w:rFonts w:hint="eastAsia" w:ascii="宋体" w:hAnsi="宋体" w:eastAsia="宋体" w:cs="宋体"/>
          <w:bCs/>
          <w:sz w:val="28"/>
          <w:szCs w:val="28"/>
          <w:u w:val="none"/>
        </w:rPr>
        <w:t>，</w:t>
      </w:r>
      <w:r>
        <w:rPr>
          <w:rFonts w:ascii="宋体" w:hAnsi="宋体" w:eastAsia="宋体" w:cs="宋体"/>
          <w:bCs/>
          <w:sz w:val="28"/>
          <w:szCs w:val="28"/>
          <w:u w:val="none"/>
        </w:rPr>
        <w:t>实行分区管理</w:t>
      </w:r>
      <w:r>
        <w:rPr>
          <w:rFonts w:hint="eastAsia" w:ascii="宋体" w:hAnsi="宋体" w:eastAsia="宋体" w:cs="宋体"/>
          <w:bCs/>
          <w:sz w:val="28"/>
          <w:szCs w:val="28"/>
          <w:u w:val="none"/>
        </w:rPr>
        <w:t>。</w:t>
      </w:r>
    </w:p>
    <w:p>
      <w:pPr>
        <w:spacing w:line="540" w:lineRule="exact"/>
        <w:ind w:firstLine="560"/>
        <w:rPr>
          <w:rFonts w:ascii="宋体" w:hAnsi="宋体" w:eastAsia="宋体" w:cs="宋体"/>
          <w:bCs/>
          <w:sz w:val="28"/>
          <w:szCs w:val="28"/>
          <w:u w:val="none"/>
        </w:rPr>
      </w:pPr>
      <w:r>
        <w:rPr>
          <w:rFonts w:hint="eastAsia" w:ascii="宋体" w:hAnsi="宋体" w:eastAsia="宋体" w:cs="宋体"/>
          <w:bCs/>
          <w:sz w:val="28"/>
          <w:szCs w:val="28"/>
          <w:u w:val="none"/>
        </w:rPr>
        <w:t>3个</w:t>
      </w:r>
      <w:r>
        <w:rPr>
          <w:rFonts w:ascii="宋体" w:hAnsi="宋体" w:eastAsia="宋体" w:cs="宋体"/>
          <w:bCs/>
          <w:sz w:val="28"/>
          <w:szCs w:val="28"/>
          <w:u w:val="none"/>
        </w:rPr>
        <w:t>加速器机房</w:t>
      </w:r>
      <w:r>
        <w:rPr>
          <w:rFonts w:hint="eastAsia" w:ascii="宋体" w:hAnsi="宋体" w:eastAsia="宋体" w:cs="宋体"/>
          <w:bCs/>
          <w:sz w:val="28"/>
          <w:szCs w:val="28"/>
          <w:u w:val="none"/>
        </w:rPr>
        <w:t>东墙、西墙的</w:t>
      </w:r>
      <w:r>
        <w:rPr>
          <w:rFonts w:ascii="宋体" w:hAnsi="宋体" w:eastAsia="宋体" w:cs="宋体"/>
          <w:bCs/>
          <w:sz w:val="28"/>
          <w:szCs w:val="28"/>
          <w:u w:val="none"/>
        </w:rPr>
        <w:t>主屏蔽墙混凝土</w:t>
      </w:r>
      <w:r>
        <w:rPr>
          <w:rFonts w:hint="eastAsia" w:ascii="宋体" w:hAnsi="宋体" w:eastAsia="宋体" w:cs="宋体"/>
          <w:bCs/>
          <w:sz w:val="28"/>
          <w:szCs w:val="28"/>
          <w:u w:val="none"/>
        </w:rPr>
        <w:t>厚度为</w:t>
      </w:r>
      <w:r>
        <w:rPr>
          <w:rFonts w:ascii="宋体" w:hAnsi="宋体" w:eastAsia="宋体" w:cs="宋体"/>
          <w:bCs/>
          <w:sz w:val="28"/>
          <w:szCs w:val="28"/>
          <w:u w:val="none"/>
        </w:rPr>
        <w:t>3100mm</w:t>
      </w:r>
      <w:r>
        <w:rPr>
          <w:rFonts w:hint="eastAsia" w:ascii="宋体" w:hAnsi="宋体" w:eastAsia="宋体" w:cs="宋体"/>
          <w:bCs/>
          <w:sz w:val="28"/>
          <w:szCs w:val="28"/>
          <w:u w:val="none"/>
        </w:rPr>
        <w:t>，</w:t>
      </w:r>
      <w:r>
        <w:rPr>
          <w:rFonts w:ascii="宋体" w:hAnsi="宋体" w:eastAsia="宋体" w:cs="宋体"/>
          <w:bCs/>
          <w:sz w:val="28"/>
          <w:szCs w:val="28"/>
          <w:u w:val="none"/>
        </w:rPr>
        <w:t>副屏蔽墙混凝土</w:t>
      </w:r>
      <w:r>
        <w:rPr>
          <w:rFonts w:hint="eastAsia" w:ascii="宋体" w:hAnsi="宋体" w:eastAsia="宋体" w:cs="宋体"/>
          <w:bCs/>
          <w:sz w:val="28"/>
          <w:szCs w:val="28"/>
          <w:u w:val="none"/>
        </w:rPr>
        <w:t>厚度为</w:t>
      </w:r>
      <w:r>
        <w:rPr>
          <w:rFonts w:ascii="宋体" w:hAnsi="宋体" w:eastAsia="宋体" w:cs="宋体"/>
          <w:bCs/>
          <w:sz w:val="28"/>
          <w:szCs w:val="28"/>
          <w:u w:val="none"/>
        </w:rPr>
        <w:t>1700mm</w:t>
      </w:r>
      <w:r>
        <w:rPr>
          <w:rFonts w:hint="eastAsia" w:ascii="宋体" w:hAnsi="宋体" w:eastAsia="宋体" w:cs="宋体"/>
          <w:bCs/>
          <w:sz w:val="28"/>
          <w:szCs w:val="28"/>
          <w:u w:val="none"/>
        </w:rPr>
        <w:t>；</w:t>
      </w:r>
      <w:r>
        <w:rPr>
          <w:rFonts w:ascii="宋体" w:hAnsi="宋体" w:eastAsia="宋体" w:cs="宋体"/>
          <w:bCs/>
          <w:sz w:val="28"/>
          <w:szCs w:val="28"/>
          <w:u w:val="none"/>
        </w:rPr>
        <w:t>北墙（“L”型迷路）迷路内墙混凝土</w:t>
      </w:r>
      <w:r>
        <w:rPr>
          <w:rFonts w:hint="eastAsia" w:ascii="宋体" w:hAnsi="宋体" w:eastAsia="宋体" w:cs="宋体"/>
          <w:bCs/>
          <w:sz w:val="28"/>
          <w:szCs w:val="28"/>
          <w:u w:val="none"/>
        </w:rPr>
        <w:t>厚度为</w:t>
      </w:r>
      <w:r>
        <w:rPr>
          <w:rFonts w:ascii="宋体" w:hAnsi="宋体" w:eastAsia="宋体" w:cs="宋体"/>
          <w:bCs/>
          <w:sz w:val="28"/>
          <w:szCs w:val="28"/>
          <w:u w:val="none"/>
        </w:rPr>
        <w:t>1400-2190mm</w:t>
      </w:r>
      <w:r>
        <w:rPr>
          <w:rFonts w:hint="eastAsia" w:ascii="宋体" w:hAnsi="宋体" w:eastAsia="宋体" w:cs="宋体"/>
          <w:bCs/>
          <w:sz w:val="28"/>
          <w:szCs w:val="28"/>
          <w:u w:val="none"/>
        </w:rPr>
        <w:t>，</w:t>
      </w:r>
      <w:r>
        <w:rPr>
          <w:rFonts w:ascii="宋体" w:hAnsi="宋体" w:eastAsia="宋体" w:cs="宋体"/>
          <w:bCs/>
          <w:sz w:val="28"/>
          <w:szCs w:val="28"/>
          <w:u w:val="none"/>
        </w:rPr>
        <w:t>迷路外墙混凝土</w:t>
      </w:r>
      <w:r>
        <w:rPr>
          <w:rFonts w:hint="eastAsia" w:ascii="宋体" w:hAnsi="宋体" w:eastAsia="宋体" w:cs="宋体"/>
          <w:bCs/>
          <w:sz w:val="28"/>
          <w:szCs w:val="28"/>
          <w:u w:val="none"/>
        </w:rPr>
        <w:t>厚度为</w:t>
      </w:r>
      <w:r>
        <w:rPr>
          <w:rFonts w:ascii="宋体" w:hAnsi="宋体" w:eastAsia="宋体" w:cs="宋体"/>
          <w:bCs/>
          <w:sz w:val="28"/>
          <w:szCs w:val="28"/>
          <w:u w:val="none"/>
        </w:rPr>
        <w:t>1000-1900mm</w:t>
      </w:r>
      <w:r>
        <w:rPr>
          <w:rFonts w:hint="eastAsia" w:ascii="宋体" w:hAnsi="宋体" w:eastAsia="宋体" w:cs="宋体"/>
          <w:bCs/>
          <w:sz w:val="28"/>
          <w:szCs w:val="28"/>
          <w:u w:val="none"/>
        </w:rPr>
        <w:t>；</w:t>
      </w:r>
      <w:r>
        <w:rPr>
          <w:rFonts w:ascii="宋体" w:hAnsi="宋体" w:eastAsia="宋体" w:cs="宋体"/>
          <w:bCs/>
          <w:sz w:val="28"/>
          <w:szCs w:val="28"/>
          <w:u w:val="none"/>
        </w:rPr>
        <w:t>南墙</w:t>
      </w:r>
      <w:r>
        <w:rPr>
          <w:rFonts w:hint="eastAsia" w:ascii="宋体" w:hAnsi="宋体" w:eastAsia="宋体" w:cs="宋体"/>
          <w:bCs/>
          <w:sz w:val="28"/>
          <w:szCs w:val="28"/>
          <w:u w:val="none"/>
        </w:rPr>
        <w:t>为</w:t>
      </w:r>
      <w:r>
        <w:rPr>
          <w:rFonts w:ascii="宋体" w:hAnsi="宋体" w:eastAsia="宋体" w:cs="宋体"/>
          <w:bCs/>
          <w:sz w:val="28"/>
          <w:szCs w:val="28"/>
          <w:u w:val="none"/>
        </w:rPr>
        <w:t>1700mm混凝土+土层</w:t>
      </w:r>
      <w:r>
        <w:rPr>
          <w:rFonts w:hint="eastAsia" w:ascii="宋体" w:hAnsi="宋体" w:eastAsia="宋体" w:cs="宋体"/>
          <w:bCs/>
          <w:sz w:val="28"/>
          <w:szCs w:val="28"/>
          <w:u w:val="none"/>
        </w:rPr>
        <w:t>；</w:t>
      </w:r>
      <w:r>
        <w:rPr>
          <w:rFonts w:ascii="宋体" w:hAnsi="宋体" w:eastAsia="宋体" w:cs="宋体"/>
          <w:bCs/>
          <w:sz w:val="28"/>
          <w:szCs w:val="28"/>
          <w:u w:val="none"/>
        </w:rPr>
        <w:t>室顶主屏蔽墙（外凸）混凝土</w:t>
      </w:r>
      <w:r>
        <w:rPr>
          <w:rFonts w:hint="eastAsia" w:ascii="宋体" w:hAnsi="宋体" w:eastAsia="宋体" w:cs="宋体"/>
          <w:bCs/>
          <w:sz w:val="28"/>
          <w:szCs w:val="28"/>
          <w:u w:val="none"/>
        </w:rPr>
        <w:t>厚度为</w:t>
      </w:r>
      <w:r>
        <w:rPr>
          <w:rFonts w:ascii="宋体" w:hAnsi="宋体" w:eastAsia="宋体" w:cs="宋体"/>
          <w:bCs/>
          <w:sz w:val="28"/>
          <w:szCs w:val="28"/>
          <w:u w:val="none"/>
        </w:rPr>
        <w:t>3100mm</w:t>
      </w:r>
      <w:r>
        <w:rPr>
          <w:rFonts w:hint="eastAsia" w:ascii="宋体" w:hAnsi="宋体" w:eastAsia="宋体" w:cs="宋体"/>
          <w:bCs/>
          <w:sz w:val="28"/>
          <w:szCs w:val="28"/>
          <w:u w:val="none"/>
        </w:rPr>
        <w:t>，</w:t>
      </w:r>
      <w:r>
        <w:rPr>
          <w:rFonts w:ascii="宋体" w:hAnsi="宋体" w:eastAsia="宋体" w:cs="宋体"/>
          <w:bCs/>
          <w:sz w:val="28"/>
          <w:szCs w:val="28"/>
          <w:u w:val="none"/>
        </w:rPr>
        <w:t>副屏蔽墙混凝土</w:t>
      </w:r>
      <w:r>
        <w:rPr>
          <w:rFonts w:hint="eastAsia" w:ascii="宋体" w:hAnsi="宋体" w:eastAsia="宋体" w:cs="宋体"/>
          <w:bCs/>
          <w:sz w:val="28"/>
          <w:szCs w:val="28"/>
          <w:u w:val="none"/>
        </w:rPr>
        <w:t>厚度为</w:t>
      </w:r>
      <w:r>
        <w:rPr>
          <w:rFonts w:ascii="宋体" w:hAnsi="宋体" w:eastAsia="宋体" w:cs="宋体"/>
          <w:bCs/>
          <w:sz w:val="28"/>
          <w:szCs w:val="28"/>
          <w:u w:val="none"/>
        </w:rPr>
        <w:t>1700mm</w:t>
      </w:r>
      <w:r>
        <w:rPr>
          <w:rFonts w:hint="eastAsia" w:ascii="宋体" w:hAnsi="宋体" w:eastAsia="宋体" w:cs="宋体"/>
          <w:bCs/>
          <w:sz w:val="28"/>
          <w:szCs w:val="28"/>
          <w:u w:val="none"/>
        </w:rPr>
        <w:t>；</w:t>
      </w:r>
      <w:r>
        <w:rPr>
          <w:rFonts w:ascii="宋体" w:hAnsi="宋体" w:eastAsia="宋体" w:cs="宋体"/>
          <w:bCs/>
          <w:sz w:val="28"/>
          <w:szCs w:val="28"/>
          <w:u w:val="none"/>
        </w:rPr>
        <w:t>迷道入口设计为电动平开防护门，加速器机房防护门为15mm铅板和150mm含硼10%的聚乙烯复合门</w:t>
      </w:r>
      <w:r>
        <w:rPr>
          <w:rFonts w:hint="eastAsia" w:ascii="宋体" w:hAnsi="宋体" w:eastAsia="宋体" w:cs="宋体"/>
          <w:bCs/>
          <w:sz w:val="28"/>
          <w:szCs w:val="28"/>
          <w:u w:val="none"/>
        </w:rPr>
        <w:t>。</w:t>
      </w:r>
      <w:r>
        <w:rPr>
          <w:rFonts w:ascii="宋体" w:hAnsi="宋体" w:eastAsia="宋体" w:cs="宋体"/>
          <w:bCs/>
          <w:sz w:val="28"/>
          <w:szCs w:val="28"/>
          <w:u w:val="none"/>
        </w:rPr>
        <w:t>加速器等中心位于机房内中间位置，1号机房等中心距东墙主屏蔽和西墙主屏蔽均为3.2m，2号、3号机房等中心距东墙主屏蔽和西墙主屏蔽均为3.55m，距迷道内墙为4.35m，距南墙为3.65m，距地面1.295m。</w:t>
      </w:r>
    </w:p>
    <w:p>
      <w:pPr>
        <w:spacing w:line="540" w:lineRule="exact"/>
        <w:ind w:firstLine="560"/>
        <w:rPr>
          <w:rFonts w:ascii="宋体" w:hAnsi="宋体" w:eastAsia="宋体" w:cs="宋体"/>
          <w:bCs/>
          <w:sz w:val="28"/>
          <w:szCs w:val="28"/>
          <w:u w:val="none"/>
        </w:rPr>
      </w:pPr>
      <w:r>
        <w:rPr>
          <w:rFonts w:ascii="宋体" w:hAnsi="宋体" w:eastAsia="宋体" w:cs="宋体"/>
          <w:bCs/>
          <w:sz w:val="28"/>
          <w:szCs w:val="28"/>
          <w:u w:val="none"/>
        </w:rPr>
        <w:t>3座加速器机房内均设置通风系统，每个加速器机房设四个进风口和一个排风口。进风口均位于机房室顶四角位置，室内通风口满足“高进低出、对角设置”的要求</w:t>
      </w:r>
      <w:r>
        <w:rPr>
          <w:rFonts w:hint="eastAsia" w:ascii="宋体" w:hAnsi="宋体" w:eastAsia="宋体" w:cs="宋体"/>
          <w:bCs/>
          <w:sz w:val="28"/>
          <w:szCs w:val="28"/>
          <w:u w:val="none"/>
        </w:rPr>
        <w:t>，</w:t>
      </w:r>
      <w:r>
        <w:rPr>
          <w:rFonts w:ascii="宋体" w:hAnsi="宋体" w:eastAsia="宋体" w:cs="宋体"/>
          <w:bCs/>
          <w:sz w:val="28"/>
          <w:szCs w:val="28"/>
          <w:u w:val="none"/>
        </w:rPr>
        <w:t>各机房通风次数4~5次/h</w:t>
      </w:r>
      <w:r>
        <w:rPr>
          <w:rFonts w:hint="eastAsia" w:ascii="宋体" w:hAnsi="宋体" w:eastAsia="宋体" w:cs="宋体"/>
          <w:bCs/>
          <w:sz w:val="28"/>
          <w:szCs w:val="28"/>
          <w:u w:val="none"/>
        </w:rPr>
        <w:t>。</w:t>
      </w:r>
    </w:p>
    <w:p>
      <w:pPr>
        <w:ind w:firstLine="560"/>
        <w:rPr>
          <w:u w:val="none"/>
        </w:rPr>
      </w:pPr>
      <w:r>
        <w:rPr>
          <w:rFonts w:ascii="宋体" w:hAnsi="宋体" w:eastAsia="宋体" w:cs="宋体"/>
          <w:bCs/>
          <w:sz w:val="28"/>
          <w:szCs w:val="28"/>
          <w:u w:val="none"/>
        </w:rPr>
        <w:t>机房内治疗床、机架、屏蔽墙、控制台均设置紧急停机按钮</w:t>
      </w:r>
      <w:r>
        <w:rPr>
          <w:rFonts w:hint="eastAsia" w:ascii="宋体" w:hAnsi="宋体" w:eastAsia="宋体" w:cs="宋体"/>
          <w:bCs/>
          <w:sz w:val="28"/>
          <w:szCs w:val="28"/>
          <w:u w:val="none"/>
        </w:rPr>
        <w:t>。机房和控制室之间已安装监控和对讲设备。防护门均已安装门机联锁装置、工作状态指示灯及电离辐射警告标志。</w:t>
      </w:r>
      <w:r>
        <w:rPr>
          <w:rFonts w:hint="eastAsia" w:ascii="宋体" w:hAnsi="宋体" w:cs="宋体"/>
          <w:bCs/>
          <w:sz w:val="28"/>
          <w:szCs w:val="28"/>
          <w:u w:val="none"/>
        </w:rPr>
        <w:t>该医院为各辐射工作场所配备了便携式个人剂量报警仪、固定式射线报警仪及</w:t>
      </w:r>
      <w:r>
        <w:rPr>
          <w:rFonts w:ascii="宋体" w:hAnsi="宋体" w:cs="宋体"/>
          <w:bCs/>
          <w:sz w:val="28"/>
          <w:szCs w:val="28"/>
          <w:u w:val="none"/>
        </w:rPr>
        <w:t>X-γ</w:t>
      </w:r>
      <w:r>
        <w:rPr>
          <w:rFonts w:hint="eastAsia" w:ascii="宋体" w:hAnsi="宋体" w:cs="宋体"/>
          <w:bCs/>
          <w:sz w:val="28"/>
          <w:szCs w:val="28"/>
          <w:u w:val="none"/>
        </w:rPr>
        <w:t>巡测仪等监测设备。</w:t>
      </w:r>
    </w:p>
    <w:p>
      <w:pPr>
        <w:ind w:firstLine="562"/>
        <w:rPr>
          <w:rFonts w:ascii="宋体" w:hAnsi="宋体" w:eastAsia="宋体" w:cs="宋体"/>
          <w:b/>
          <w:sz w:val="28"/>
          <w:szCs w:val="28"/>
          <w:u w:val="none"/>
        </w:rPr>
      </w:pPr>
      <w:r>
        <w:rPr>
          <w:rFonts w:hint="eastAsia" w:ascii="宋体" w:hAnsi="宋体" w:eastAsia="宋体" w:cs="宋体"/>
          <w:b/>
          <w:sz w:val="28"/>
          <w:szCs w:val="28"/>
          <w:u w:val="none"/>
        </w:rPr>
        <w:t>四、辐射安全管理情况</w:t>
      </w:r>
    </w:p>
    <w:p>
      <w:pPr>
        <w:ind w:firstLine="560"/>
        <w:rPr>
          <w:rFonts w:ascii="宋体" w:hAnsi="宋体" w:eastAsia="宋体" w:cs="宋体"/>
          <w:bCs/>
          <w:sz w:val="28"/>
          <w:szCs w:val="28"/>
          <w:u w:val="none"/>
        </w:rPr>
      </w:pPr>
      <w:r>
        <w:rPr>
          <w:rFonts w:hint="eastAsia" w:ascii="宋体" w:hAnsi="宋体" w:eastAsia="宋体" w:cs="宋体"/>
          <w:bCs/>
          <w:sz w:val="28"/>
          <w:szCs w:val="28"/>
          <w:u w:val="none"/>
        </w:rPr>
        <w:t>1.成立了放射防护管理领导小组，签订了辐射工作安全责任书；</w:t>
      </w:r>
      <w:r>
        <w:rPr>
          <w:rFonts w:ascii="宋体" w:hAnsi="宋体" w:eastAsia="宋体" w:cs="宋体"/>
          <w:bCs/>
          <w:sz w:val="28"/>
          <w:szCs w:val="28"/>
          <w:u w:val="none"/>
        </w:rPr>
        <w:t>制定了《放射防护安全巡检制度》、《放射诊疗工作场所辐射防护安全管理制度》、《放射防护领导小组工作制度》、《放射性同位素（射线装置）使用管理制度》、《安全防护设施定期检查维护制度》、《加速器室工作制度》、《放射工作人员个人剂量管理制度》、《放射诊疗工作场所辐射防护安全管理制度》</w:t>
      </w:r>
      <w:r>
        <w:rPr>
          <w:rFonts w:hint="eastAsia" w:ascii="宋体" w:hAnsi="宋体" w:eastAsia="宋体" w:cs="宋体"/>
          <w:bCs/>
          <w:sz w:val="28"/>
          <w:szCs w:val="28"/>
          <w:u w:val="none"/>
        </w:rPr>
        <w:t>、</w:t>
      </w:r>
      <w:r>
        <w:rPr>
          <w:rFonts w:ascii="宋体" w:hAnsi="宋体" w:eastAsia="宋体" w:cs="宋体"/>
          <w:bCs/>
          <w:sz w:val="28"/>
          <w:szCs w:val="28"/>
          <w:u w:val="none"/>
        </w:rPr>
        <w:t>《直线加速器操作规程》</w:t>
      </w:r>
      <w:r>
        <w:rPr>
          <w:rFonts w:hint="eastAsia" w:ascii="宋体" w:hAnsi="宋体" w:eastAsia="宋体" w:cs="宋体"/>
          <w:bCs/>
          <w:sz w:val="28"/>
          <w:szCs w:val="28"/>
          <w:u w:val="none"/>
        </w:rPr>
        <w:t>等辐射防护管理制度和操作规程，建立了辐射安全管理档案；编制了《山东省肿瘤防治研究院放射性事故应急预案》，并进行了应急演练；编制了2020年度山东省肿瘤防治研究院评估报告并上报。</w:t>
      </w:r>
    </w:p>
    <w:p>
      <w:pPr>
        <w:pStyle w:val="3"/>
        <w:spacing w:line="520" w:lineRule="exact"/>
        <w:ind w:left="0" w:leftChars="0" w:right="0" w:rightChars="0" w:firstLine="560" w:firstLineChars="200"/>
        <w:jc w:val="left"/>
        <w:rPr>
          <w:rFonts w:ascii="宋体" w:hAnsi="宋体" w:cs="宋体"/>
          <w:bCs/>
          <w:sz w:val="28"/>
          <w:szCs w:val="28"/>
          <w:u w:val="none"/>
        </w:rPr>
      </w:pPr>
      <w:r>
        <w:rPr>
          <w:rFonts w:hint="eastAsia" w:ascii="宋体" w:hAnsi="宋体" w:cs="宋体"/>
          <w:bCs/>
          <w:sz w:val="28"/>
          <w:szCs w:val="28"/>
          <w:u w:val="none"/>
        </w:rPr>
        <w:t>2.本项目辐射工作人员，均取得初级辐射防护与安全培训合格证书；已委托有资质技术服务机构进行了个人剂量监测，并建立了个人剂量档案，做到了一人一档。</w:t>
      </w:r>
    </w:p>
    <w:p>
      <w:pPr>
        <w:spacing w:line="360" w:lineRule="auto"/>
        <w:ind w:firstLine="562"/>
        <w:rPr>
          <w:rFonts w:ascii="宋体" w:hAnsi="宋体" w:eastAsia="宋体" w:cs="宋体"/>
          <w:b/>
          <w:sz w:val="28"/>
          <w:szCs w:val="28"/>
          <w:u w:val="none"/>
        </w:rPr>
      </w:pPr>
      <w:r>
        <w:rPr>
          <w:rFonts w:hint="eastAsia" w:ascii="宋体" w:hAnsi="宋体" w:eastAsia="宋体" w:cs="宋体"/>
          <w:b/>
          <w:sz w:val="28"/>
          <w:szCs w:val="28"/>
          <w:u w:val="none"/>
        </w:rPr>
        <w:t>五、工程建设对环境的影响</w:t>
      </w:r>
    </w:p>
    <w:p>
      <w:pPr>
        <w:ind w:firstLine="560"/>
        <w:rPr>
          <w:rFonts w:ascii="宋体" w:hAnsi="宋体" w:eastAsia="宋体" w:cs="宋体"/>
          <w:bCs/>
          <w:sz w:val="28"/>
          <w:szCs w:val="28"/>
          <w:u w:val="none"/>
        </w:rPr>
      </w:pPr>
      <w:r>
        <w:rPr>
          <w:rFonts w:hint="eastAsia" w:ascii="宋体" w:hAnsi="宋体" w:eastAsia="宋体" w:cs="宋体"/>
          <w:bCs/>
          <w:sz w:val="28"/>
          <w:szCs w:val="28"/>
          <w:u w:val="none"/>
        </w:rPr>
        <w:t>经现场监测，</w:t>
      </w:r>
      <w:r>
        <w:rPr>
          <w:rFonts w:ascii="宋体" w:hAnsi="宋体" w:eastAsia="宋体" w:cs="宋体"/>
          <w:bCs/>
          <w:sz w:val="28"/>
          <w:szCs w:val="28"/>
          <w:u w:val="none"/>
        </w:rPr>
        <w:t>非工作状态下，Varian Halcyon型直线加速器机房周围X-γ辐射剂量率范围为（57.1～88.0）nSv/h，处于济南市环境天然辐射水平的正常波动范围内。工作状态下，Varian Halcyon型直线加速器机房周围X-γ辐射剂量率范围为(50.8～105)nSv/h，满足环评采用的目标值不超过</w:t>
      </w:r>
      <w:r>
        <w:rPr>
          <w:rFonts w:hint="eastAsia" w:ascii="宋体" w:hAnsi="宋体" w:eastAsia="宋体" w:cs="宋体"/>
          <w:bCs/>
          <w:sz w:val="28"/>
          <w:szCs w:val="28"/>
          <w:u w:val="none"/>
        </w:rPr>
        <w:t>2.5</w:t>
      </w:r>
      <w:r>
        <w:rPr>
          <w:rFonts w:ascii="宋体" w:hAnsi="宋体" w:eastAsia="宋体" w:cs="宋体"/>
          <w:bCs/>
          <w:sz w:val="28"/>
          <w:szCs w:val="28"/>
          <w:u w:val="none"/>
        </w:rPr>
        <w:t>μ</w:t>
      </w:r>
      <w:r>
        <w:rPr>
          <w:rFonts w:hint="eastAsia" w:ascii="宋体" w:hAnsi="宋体" w:eastAsia="宋体" w:cs="宋体"/>
          <w:bCs/>
          <w:sz w:val="28"/>
          <w:szCs w:val="28"/>
          <w:u w:val="none"/>
        </w:rPr>
        <w:t>Sv</w:t>
      </w:r>
      <w:r>
        <w:rPr>
          <w:rFonts w:ascii="宋体" w:hAnsi="宋体" w:eastAsia="宋体" w:cs="宋体"/>
          <w:bCs/>
          <w:sz w:val="28"/>
          <w:szCs w:val="28"/>
          <w:u w:val="none"/>
        </w:rPr>
        <w:t>/h的限值要求。</w:t>
      </w:r>
    </w:p>
    <w:p>
      <w:pPr>
        <w:ind w:firstLine="560"/>
        <w:rPr>
          <w:rFonts w:ascii="宋体" w:hAnsi="宋体" w:eastAsia="宋体" w:cs="宋体"/>
          <w:bCs/>
          <w:sz w:val="28"/>
          <w:szCs w:val="28"/>
          <w:u w:val="none"/>
        </w:rPr>
      </w:pPr>
      <w:r>
        <w:rPr>
          <w:rFonts w:ascii="宋体" w:hAnsi="宋体" w:eastAsia="宋体" w:cs="宋体"/>
          <w:bCs/>
          <w:sz w:val="28"/>
          <w:szCs w:val="28"/>
          <w:u w:val="none"/>
        </w:rPr>
        <w:t>非工作状态下，Varian Truebeam型直线加速器机房周围X-γ辐射剂量率范围为（65.4～99.4）nSv/h，处于济南市环境天然辐射水平的正常范围内。工作状态下，Varian Truebeam型直线加速器机房周围X-γ辐射剂量率范围为(56.4～106)nSv/h，满足环评采用的目标值不超过</w:t>
      </w:r>
      <w:r>
        <w:rPr>
          <w:rFonts w:hint="eastAsia" w:ascii="宋体" w:hAnsi="宋体" w:eastAsia="宋体" w:cs="宋体"/>
          <w:bCs/>
          <w:sz w:val="28"/>
          <w:szCs w:val="28"/>
          <w:u w:val="none"/>
        </w:rPr>
        <w:t>2.5</w:t>
      </w:r>
      <w:r>
        <w:rPr>
          <w:rFonts w:ascii="宋体" w:hAnsi="宋体" w:eastAsia="宋体" w:cs="宋体"/>
          <w:bCs/>
          <w:sz w:val="28"/>
          <w:szCs w:val="28"/>
          <w:u w:val="none"/>
        </w:rPr>
        <w:t>μ</w:t>
      </w:r>
      <w:r>
        <w:rPr>
          <w:rFonts w:hint="eastAsia" w:ascii="宋体" w:hAnsi="宋体" w:eastAsia="宋体" w:cs="宋体"/>
          <w:bCs/>
          <w:sz w:val="28"/>
          <w:szCs w:val="28"/>
          <w:u w:val="none"/>
        </w:rPr>
        <w:t>Sv</w:t>
      </w:r>
      <w:r>
        <w:rPr>
          <w:rFonts w:ascii="宋体" w:hAnsi="宋体" w:eastAsia="宋体" w:cs="宋体"/>
          <w:bCs/>
          <w:sz w:val="28"/>
          <w:szCs w:val="28"/>
          <w:u w:val="none"/>
        </w:rPr>
        <w:t>/h的限值要求。</w:t>
      </w:r>
    </w:p>
    <w:p>
      <w:pPr>
        <w:ind w:firstLine="560"/>
        <w:rPr>
          <w:rFonts w:ascii="宋体" w:hAnsi="宋体" w:eastAsia="宋体" w:cs="宋体"/>
          <w:bCs/>
          <w:sz w:val="28"/>
          <w:szCs w:val="28"/>
          <w:u w:val="none"/>
        </w:rPr>
      </w:pPr>
      <w:r>
        <w:rPr>
          <w:rFonts w:ascii="宋体" w:hAnsi="宋体" w:eastAsia="宋体" w:cs="宋体"/>
          <w:bCs/>
          <w:sz w:val="28"/>
          <w:szCs w:val="28"/>
          <w:u w:val="none"/>
        </w:rPr>
        <w:t>非工作状态下，Varian Vitalbeam型直线加速器机房周围X-γ辐射剂量率范围为（52.6～96.4）nSv/h，处于济南市环境天然辐射水平的正常波动范围内。工作状态下，Varian Vitalbeam型直线加速器机房周围X-γ辐射剂量率范围为(49.0～92.1)nSv/h，满足环评采用的目标值不超过</w:t>
      </w:r>
      <w:r>
        <w:rPr>
          <w:rFonts w:hint="eastAsia" w:ascii="宋体" w:hAnsi="宋体" w:eastAsia="宋体" w:cs="宋体"/>
          <w:bCs/>
          <w:sz w:val="28"/>
          <w:szCs w:val="28"/>
          <w:u w:val="none"/>
        </w:rPr>
        <w:t>2.5</w:t>
      </w:r>
      <w:r>
        <w:rPr>
          <w:rFonts w:ascii="宋体" w:hAnsi="宋体" w:eastAsia="宋体" w:cs="宋体"/>
          <w:bCs/>
          <w:sz w:val="28"/>
          <w:szCs w:val="28"/>
          <w:u w:val="none"/>
        </w:rPr>
        <w:t>μ</w:t>
      </w:r>
      <w:r>
        <w:rPr>
          <w:rFonts w:hint="eastAsia" w:ascii="宋体" w:hAnsi="宋体" w:eastAsia="宋体" w:cs="宋体"/>
          <w:bCs/>
          <w:sz w:val="28"/>
          <w:szCs w:val="28"/>
          <w:u w:val="none"/>
        </w:rPr>
        <w:t>Sv</w:t>
      </w:r>
      <w:r>
        <w:rPr>
          <w:rFonts w:ascii="宋体" w:hAnsi="宋体" w:eastAsia="宋体" w:cs="宋体"/>
          <w:bCs/>
          <w:sz w:val="28"/>
          <w:szCs w:val="28"/>
          <w:u w:val="none"/>
        </w:rPr>
        <w:t>/h的限值要求。</w:t>
      </w:r>
    </w:p>
    <w:p>
      <w:pPr>
        <w:ind w:firstLine="560"/>
        <w:rPr>
          <w:rFonts w:ascii="宋体" w:hAnsi="宋体" w:eastAsia="宋体" w:cs="宋体"/>
          <w:bCs/>
          <w:sz w:val="28"/>
          <w:szCs w:val="28"/>
          <w:u w:val="none"/>
        </w:rPr>
      </w:pPr>
      <w:r>
        <w:rPr>
          <w:rFonts w:ascii="宋体" w:hAnsi="宋体" w:eastAsia="宋体" w:cs="宋体"/>
          <w:bCs/>
          <w:sz w:val="28"/>
          <w:szCs w:val="28"/>
          <w:u w:val="none"/>
        </w:rPr>
        <w:t>根据验收监测结果</w:t>
      </w:r>
      <w:r>
        <w:rPr>
          <w:rFonts w:hint="eastAsia" w:ascii="宋体" w:hAnsi="宋体" w:eastAsia="宋体" w:cs="宋体"/>
          <w:bCs/>
          <w:sz w:val="28"/>
          <w:szCs w:val="28"/>
          <w:u w:val="none"/>
        </w:rPr>
        <w:t>估算得知，</w:t>
      </w:r>
      <w:r>
        <w:rPr>
          <w:rFonts w:ascii="宋体" w:hAnsi="宋体" w:eastAsia="宋体" w:cs="宋体"/>
          <w:bCs/>
          <w:sz w:val="28"/>
          <w:szCs w:val="28"/>
          <w:u w:val="none"/>
        </w:rPr>
        <w:t>医用电子加速器工作场所辐射工作人员年辐射剂量最大为0.113mSv/a，低于《电离辐射防护与辐射源安全基本标准》(GB18871-2002)中规定职业人员的剂量限值20mSv/a，也低于环评中提出的5.0mSv/a的管理约束限值。</w:t>
      </w:r>
    </w:p>
    <w:p>
      <w:pPr>
        <w:ind w:firstLine="560"/>
        <w:rPr>
          <w:rFonts w:ascii="宋体" w:hAnsi="宋体" w:eastAsia="宋体" w:cs="宋体"/>
          <w:bCs/>
          <w:sz w:val="28"/>
          <w:szCs w:val="28"/>
          <w:u w:val="none"/>
        </w:rPr>
      </w:pPr>
      <w:r>
        <w:rPr>
          <w:rFonts w:ascii="宋体" w:hAnsi="宋体" w:eastAsia="宋体" w:cs="宋体"/>
          <w:bCs/>
          <w:sz w:val="28"/>
          <w:szCs w:val="28"/>
          <w:u w:val="none"/>
        </w:rPr>
        <w:t>根据本次验收监测结果</w:t>
      </w:r>
      <w:r>
        <w:rPr>
          <w:rFonts w:hint="eastAsia" w:ascii="宋体" w:hAnsi="宋体" w:eastAsia="宋体" w:cs="宋体"/>
          <w:bCs/>
          <w:sz w:val="28"/>
          <w:szCs w:val="28"/>
          <w:u w:val="none"/>
        </w:rPr>
        <w:t>估算得知</w:t>
      </w:r>
      <w:r>
        <w:rPr>
          <w:rFonts w:ascii="宋体" w:hAnsi="宋体" w:eastAsia="宋体" w:cs="宋体"/>
          <w:bCs/>
          <w:sz w:val="28"/>
          <w:szCs w:val="28"/>
          <w:u w:val="none"/>
        </w:rPr>
        <w:t>，公众人员年辐射剂量为0.018mSv/a，低于环评中提出的公众年剂量0.25mSv/a的管理要求。</w:t>
      </w:r>
    </w:p>
    <w:p>
      <w:pPr>
        <w:spacing w:line="360" w:lineRule="auto"/>
        <w:ind w:firstLine="562"/>
        <w:rPr>
          <w:rFonts w:ascii="宋体" w:hAnsi="宋体" w:eastAsia="宋体" w:cs="宋体"/>
          <w:b/>
          <w:sz w:val="28"/>
          <w:szCs w:val="28"/>
          <w:u w:val="none"/>
        </w:rPr>
      </w:pPr>
      <w:r>
        <w:rPr>
          <w:rFonts w:hint="eastAsia" w:ascii="宋体" w:hAnsi="宋体" w:eastAsia="宋体" w:cs="宋体"/>
          <w:b/>
          <w:sz w:val="28"/>
          <w:szCs w:val="28"/>
          <w:u w:val="none"/>
        </w:rPr>
        <w:t>六、验收结论</w:t>
      </w:r>
    </w:p>
    <w:p>
      <w:pPr>
        <w:ind w:firstLine="560"/>
        <w:rPr>
          <w:rFonts w:ascii="宋体" w:hAnsi="宋体" w:eastAsia="宋体" w:cs="宋体"/>
          <w:bCs/>
          <w:sz w:val="28"/>
          <w:szCs w:val="28"/>
          <w:u w:val="none"/>
        </w:rPr>
      </w:pPr>
      <w:r>
        <w:rPr>
          <w:rFonts w:hint="eastAsia" w:ascii="宋体" w:hAnsi="宋体" w:eastAsia="宋体" w:cs="宋体"/>
          <w:bCs/>
          <w:sz w:val="28"/>
          <w:szCs w:val="28"/>
          <w:u w:val="none"/>
        </w:rPr>
        <w:t>项目环保手续齐全，基本落实了环境影响报告表及批复中的各项要求，辐射安全与防护措施有效，辐射安全管理制度齐全，验收监测结果满足要求，符合建设项目竣工环境保护验收条件，验收合格。</w:t>
      </w:r>
    </w:p>
    <w:p>
      <w:pPr>
        <w:spacing w:line="360" w:lineRule="auto"/>
        <w:ind w:firstLine="562"/>
        <w:rPr>
          <w:rFonts w:ascii="宋体" w:hAnsi="宋体" w:eastAsia="宋体" w:cs="宋体"/>
          <w:b/>
          <w:sz w:val="28"/>
          <w:szCs w:val="28"/>
          <w:u w:val="none"/>
        </w:rPr>
      </w:pPr>
      <w:r>
        <w:rPr>
          <w:rFonts w:hint="eastAsia" w:ascii="宋体" w:hAnsi="宋体" w:eastAsia="宋体" w:cs="宋体"/>
          <w:b/>
          <w:sz w:val="28"/>
          <w:szCs w:val="28"/>
          <w:u w:val="none"/>
        </w:rPr>
        <w:t>七、后续要求</w:t>
      </w:r>
    </w:p>
    <w:p>
      <w:pPr>
        <w:ind w:firstLine="560"/>
        <w:rPr>
          <w:rFonts w:ascii="宋体" w:hAnsi="宋体" w:eastAsia="宋体" w:cs="宋体"/>
          <w:bCs/>
          <w:sz w:val="28"/>
          <w:szCs w:val="28"/>
          <w:u w:val="none"/>
        </w:rPr>
      </w:pPr>
      <w:r>
        <w:rPr>
          <w:rFonts w:hint="eastAsia" w:ascii="宋体" w:hAnsi="宋体" w:eastAsia="宋体" w:cs="宋体"/>
          <w:bCs/>
          <w:sz w:val="28"/>
          <w:szCs w:val="28"/>
          <w:u w:val="none"/>
        </w:rPr>
        <w:t>1、进一步健全辐射安全管理档案；</w:t>
      </w:r>
    </w:p>
    <w:p>
      <w:pPr>
        <w:ind w:firstLine="560"/>
        <w:rPr>
          <w:rFonts w:hint="eastAsia" w:ascii="宋体" w:hAnsi="宋体" w:eastAsia="宋体" w:cs="宋体"/>
          <w:bCs/>
          <w:sz w:val="28"/>
          <w:szCs w:val="28"/>
          <w:u w:val="none"/>
        </w:rPr>
      </w:pPr>
      <w:r>
        <w:rPr>
          <w:rFonts w:hint="eastAsia" w:ascii="宋体" w:hAnsi="宋体" w:eastAsia="宋体" w:cs="宋体"/>
          <w:bCs/>
          <w:sz w:val="28"/>
          <w:szCs w:val="28"/>
          <w:u w:val="none"/>
        </w:rPr>
        <w:t>2、进一步完善辐射安全与防护措施，确保其安全有效。</w:t>
      </w:r>
    </w:p>
    <w:p>
      <w:pPr>
        <w:pStyle w:val="2"/>
        <w:rPr>
          <w:rFonts w:hint="eastAsia" w:ascii="宋体" w:hAnsi="宋体" w:eastAsia="宋体" w:cs="宋体"/>
          <w:bCs/>
          <w:sz w:val="28"/>
          <w:szCs w:val="28"/>
          <w:u w:val="none"/>
        </w:rPr>
      </w:pPr>
    </w:p>
    <w:p>
      <w:pPr>
        <w:pStyle w:val="2"/>
        <w:rPr>
          <w:rFonts w:ascii="宋体" w:hAnsi="宋体" w:eastAsia="宋体" w:cs="宋体"/>
          <w:bCs/>
          <w:sz w:val="28"/>
          <w:szCs w:val="28"/>
          <w:u w:val="none"/>
        </w:rPr>
      </w:pPr>
    </w:p>
    <w:p>
      <w:pPr>
        <w:spacing w:line="360" w:lineRule="auto"/>
        <w:ind w:firstLine="560"/>
        <w:jc w:val="right"/>
        <w:rPr>
          <w:rFonts w:ascii="宋体" w:hAnsi="宋体" w:eastAsia="宋体" w:cs="宋体"/>
          <w:bCs/>
          <w:sz w:val="28"/>
          <w:szCs w:val="28"/>
          <w:u w:val="none"/>
        </w:rPr>
      </w:pPr>
      <w:r>
        <w:rPr>
          <w:rFonts w:hint="eastAsia" w:ascii="宋体" w:hAnsi="宋体" w:eastAsia="宋体" w:cs="宋体"/>
          <w:bCs/>
          <w:sz w:val="28"/>
          <w:szCs w:val="28"/>
          <w:u w:val="none"/>
        </w:rPr>
        <w:t>山东第一医科大学附属肿瘤医院</w:t>
      </w:r>
    </w:p>
    <w:p>
      <w:pPr>
        <w:spacing w:line="360" w:lineRule="auto"/>
        <w:ind w:firstLine="560"/>
        <w:jc w:val="right"/>
        <w:rPr>
          <w:rFonts w:ascii="宋体" w:hAnsi="宋体" w:eastAsia="宋体" w:cs="宋体"/>
          <w:bCs/>
          <w:sz w:val="28"/>
          <w:szCs w:val="28"/>
          <w:u w:val="none"/>
        </w:rPr>
      </w:pPr>
      <w:r>
        <w:rPr>
          <w:rFonts w:hint="eastAsia" w:ascii="宋体" w:hAnsi="宋体" w:eastAsia="宋体" w:cs="宋体"/>
          <w:bCs/>
          <w:sz w:val="28"/>
          <w:szCs w:val="28"/>
          <w:u w:val="none"/>
        </w:rPr>
        <w:t xml:space="preserve">（山东省肿瘤防治研究院、山东省肿瘤医院）                             </w:t>
      </w:r>
    </w:p>
    <w:p>
      <w:pPr>
        <w:spacing w:line="360" w:lineRule="auto"/>
        <w:ind w:firstLine="560"/>
        <w:jc w:val="right"/>
        <w:rPr>
          <w:rFonts w:hint="eastAsia" w:ascii="宋体" w:hAnsi="宋体" w:eastAsia="宋体" w:cs="宋体"/>
          <w:bCs/>
          <w:sz w:val="28"/>
          <w:szCs w:val="28"/>
          <w:u w:val="none"/>
        </w:rPr>
        <w:sectPr>
          <w:pgSz w:w="11906" w:h="16838"/>
          <w:pgMar w:top="1213" w:right="1800" w:bottom="1157" w:left="1800" w:header="851" w:footer="992" w:gutter="0"/>
          <w:cols w:space="0" w:num="1"/>
          <w:docGrid w:type="lines" w:linePitch="332" w:charSpace="0"/>
        </w:sectPr>
      </w:pPr>
      <w:r>
        <w:rPr>
          <w:rFonts w:hint="eastAsia" w:ascii="宋体" w:hAnsi="宋体" w:eastAsia="宋体" w:cs="宋体"/>
          <w:bCs/>
          <w:sz w:val="28"/>
          <w:szCs w:val="28"/>
          <w:u w:val="none"/>
        </w:rPr>
        <w:t xml:space="preserve">  2021年7月27日</w:t>
      </w:r>
    </w:p>
    <w:p>
      <w:pPr>
        <w:pStyle w:val="2"/>
        <w:rPr>
          <w:rFonts w:hint="eastAsia"/>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6998970</wp:posOffset>
                </wp:positionH>
                <wp:positionV relativeFrom="paragraph">
                  <wp:posOffset>1906905</wp:posOffset>
                </wp:positionV>
                <wp:extent cx="266065" cy="99060"/>
                <wp:effectExtent l="0" t="0" r="8255" b="7620"/>
                <wp:wrapNone/>
                <wp:docPr id="4" name="矩形 4"/>
                <wp:cNvGraphicFramePr/>
                <a:graphic xmlns:a="http://schemas.openxmlformats.org/drawingml/2006/main">
                  <a:graphicData uri="http://schemas.microsoft.com/office/word/2010/wordprocessingShape">
                    <wps:wsp>
                      <wps:cNvSpPr/>
                      <wps:spPr>
                        <a:xfrm>
                          <a:off x="7999095" y="3103245"/>
                          <a:ext cx="266065" cy="990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51.1pt;margin-top:150.15pt;height:7.8pt;width:20.95pt;z-index:251659264;v-text-anchor:middle;mso-width-relative:page;mso-height-relative:page;" fillcolor="#FFFFFF [3212]" filled="t" stroked="f" coordsize="21600,21600" o:gfxdata="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wysPm1gAAAA0BAAAPAAAAAAAAAAEAIAAAACIAAABkcnMvZG93bnJldi54bWxQSwEC&#10;FAAUAAAACACHTuJArgXFZWgCAAC+BAAADgAAAAAAAAABACAAAAAlAQAAZHJzL2Uyb0RvYy54bWxQ&#10;SwUGAAAAAAYABgBZAQAA/wUAAAAA&#10;">
                <v:fill on="t" focussize="0,0"/>
                <v:stroke on="f" weight="2pt"/>
                <v:imagedata o:title=""/>
                <o:lock v:ext="edit" aspectratio="f"/>
              </v:rect>
            </w:pict>
          </mc:Fallback>
        </mc:AlternateContent>
      </w:r>
      <w:r>
        <w:rPr>
          <w:rFonts w:hint="eastAsia" w:eastAsiaTheme="minorEastAsia"/>
          <w:lang w:eastAsia="zh-CN"/>
        </w:rPr>
        <w:drawing>
          <wp:inline distT="0" distB="0" distL="114300" distR="114300">
            <wp:extent cx="8366760" cy="4482465"/>
            <wp:effectExtent l="0" t="0" r="0" b="13335"/>
            <wp:docPr id="2" name="图片 2" descr="16279514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7951448(1)"/>
                    <pic:cNvPicPr>
                      <a:picLocks noChangeAspect="1"/>
                    </pic:cNvPicPr>
                  </pic:nvPicPr>
                  <pic:blipFill>
                    <a:blip r:embed="rId6"/>
                    <a:stretch>
                      <a:fillRect/>
                    </a:stretch>
                  </pic:blipFill>
                  <pic:spPr>
                    <a:xfrm>
                      <a:off x="0" y="0"/>
                      <a:ext cx="8366760" cy="4482465"/>
                    </a:xfrm>
                    <a:prstGeom prst="rect">
                      <a:avLst/>
                    </a:prstGeom>
                  </pic:spPr>
                </pic:pic>
              </a:graphicData>
            </a:graphic>
          </wp:inline>
        </w:drawing>
      </w:r>
      <w:bookmarkStart w:id="0" w:name="_GoBack"/>
      <w:bookmarkEnd w:id="0"/>
    </w:p>
    <w:sectPr>
      <w:pgSz w:w="16838" w:h="11906" w:orient="landscape"/>
      <w:pgMar w:top="1800" w:right="1213" w:bottom="1800" w:left="1157" w:header="851" w:footer="992" w:gutter="0"/>
      <w:cols w:space="0" w:num="1"/>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1A"/>
    <w:rsid w:val="000B5338"/>
    <w:rsid w:val="000E78CE"/>
    <w:rsid w:val="0013375F"/>
    <w:rsid w:val="00177CAE"/>
    <w:rsid w:val="001D6DC3"/>
    <w:rsid w:val="00224CB9"/>
    <w:rsid w:val="003021C9"/>
    <w:rsid w:val="0030335D"/>
    <w:rsid w:val="00375434"/>
    <w:rsid w:val="0039642B"/>
    <w:rsid w:val="003C7733"/>
    <w:rsid w:val="003D4DA4"/>
    <w:rsid w:val="00443176"/>
    <w:rsid w:val="004455B1"/>
    <w:rsid w:val="00516D72"/>
    <w:rsid w:val="006819AD"/>
    <w:rsid w:val="006E0621"/>
    <w:rsid w:val="00772529"/>
    <w:rsid w:val="007A25C6"/>
    <w:rsid w:val="007D5B8E"/>
    <w:rsid w:val="008109BF"/>
    <w:rsid w:val="00812796"/>
    <w:rsid w:val="00831842"/>
    <w:rsid w:val="00886F2F"/>
    <w:rsid w:val="0089108B"/>
    <w:rsid w:val="0089241E"/>
    <w:rsid w:val="00894747"/>
    <w:rsid w:val="009215A0"/>
    <w:rsid w:val="00932C3B"/>
    <w:rsid w:val="00A3021A"/>
    <w:rsid w:val="00A73500"/>
    <w:rsid w:val="00AF3513"/>
    <w:rsid w:val="00B9190B"/>
    <w:rsid w:val="00C9415B"/>
    <w:rsid w:val="00CB16B0"/>
    <w:rsid w:val="00CE3B95"/>
    <w:rsid w:val="00E2514A"/>
    <w:rsid w:val="00E92B31"/>
    <w:rsid w:val="00EF4917"/>
    <w:rsid w:val="00F257A9"/>
    <w:rsid w:val="00F33C78"/>
    <w:rsid w:val="00F7544B"/>
    <w:rsid w:val="00F776C6"/>
    <w:rsid w:val="00FE4087"/>
    <w:rsid w:val="057A16ED"/>
    <w:rsid w:val="111611DD"/>
    <w:rsid w:val="13525F89"/>
    <w:rsid w:val="135E08C4"/>
    <w:rsid w:val="14B57292"/>
    <w:rsid w:val="18824E8F"/>
    <w:rsid w:val="19C617EB"/>
    <w:rsid w:val="1E3D16C3"/>
    <w:rsid w:val="1F7336A8"/>
    <w:rsid w:val="20096190"/>
    <w:rsid w:val="21300A3D"/>
    <w:rsid w:val="23E77472"/>
    <w:rsid w:val="262231CD"/>
    <w:rsid w:val="276A2C4F"/>
    <w:rsid w:val="2E6B0BBD"/>
    <w:rsid w:val="314B1B39"/>
    <w:rsid w:val="371E1271"/>
    <w:rsid w:val="3A3F3B34"/>
    <w:rsid w:val="3B306274"/>
    <w:rsid w:val="3BCC3F6A"/>
    <w:rsid w:val="47456649"/>
    <w:rsid w:val="4A9311E7"/>
    <w:rsid w:val="508D3B27"/>
    <w:rsid w:val="51B97EF1"/>
    <w:rsid w:val="574D00E6"/>
    <w:rsid w:val="5A3477B7"/>
    <w:rsid w:val="5F7027BD"/>
    <w:rsid w:val="64736A92"/>
    <w:rsid w:val="69FA21C3"/>
    <w:rsid w:val="6A96569D"/>
    <w:rsid w:val="6AC27421"/>
    <w:rsid w:val="6D6F2D27"/>
    <w:rsid w:val="72E26CDE"/>
    <w:rsid w:val="7B8A0345"/>
    <w:rsid w:val="7BA94C92"/>
    <w:rsid w:val="7C577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480" w:firstLineChars="200"/>
      <w:jc w:val="both"/>
    </w:pPr>
    <w:rPr>
      <w:rFonts w:asciiTheme="minorHAnsi" w:hAnsiTheme="minorHAnsi" w:eastAsiaTheme="minorEastAsia" w:cstheme="minorBidi"/>
      <w:kern w:val="2"/>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line="240" w:lineRule="auto"/>
      <w:ind w:firstLine="0" w:firstLineChars="0"/>
      <w:jc w:val="center"/>
    </w:pPr>
    <w:rPr>
      <w:sz w:val="21"/>
    </w:rPr>
  </w:style>
  <w:style w:type="paragraph" w:styleId="3">
    <w:name w:val="Block Text"/>
    <w:basedOn w:val="1"/>
    <w:unhideWhenUsed/>
    <w:qFormat/>
    <w:uiPriority w:val="0"/>
    <w:pPr>
      <w:spacing w:line="240" w:lineRule="auto"/>
      <w:ind w:left="1260" w:leftChars="400" w:right="1288" w:rightChars="409" w:firstLine="736" w:firstLineChars="230"/>
    </w:pPr>
    <w:rPr>
      <w:rFonts w:ascii="Calibri" w:hAnsi="Calibri" w:eastAsia="宋体"/>
      <w:sz w:val="21"/>
      <w:szCs w:val="22"/>
    </w:rPr>
  </w:style>
  <w:style w:type="paragraph" w:styleId="4">
    <w:name w:val="Plain Text"/>
    <w:basedOn w:val="1"/>
    <w:link w:val="13"/>
    <w:qFormat/>
    <w:uiPriority w:val="0"/>
    <w:rPr>
      <w:rFonts w:ascii="宋体" w:hAnsi="Courier New" w:eastAsia="宋体" w:cs="Courier New"/>
      <w:sz w:val="21"/>
      <w:szCs w:val="21"/>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character" w:customStyle="1" w:styleId="13">
    <w:name w:val="纯文本 Char"/>
    <w:basedOn w:val="10"/>
    <w:link w:val="4"/>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432</Words>
  <Characters>2466</Characters>
  <Lines>20</Lines>
  <Paragraphs>5</Paragraphs>
  <TotalTime>1</TotalTime>
  <ScaleCrop>false</ScaleCrop>
  <LinksUpToDate>false</LinksUpToDate>
  <CharactersWithSpaces>2893</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2018-06-07T08:38:00Z</dcterms:created>
  <dc:creator>Windows 用户</dc:creator>
  <cp:lastModifiedBy>尚可安好</cp:lastModifiedBy>
  <dcterms:modified xsi:type="dcterms:W3CDTF">2021-08-03T00:47:53Z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7E579387F8EF41D69F276E318B8EC3D5</vt:lpwstr>
  </property>
</Properties>
</file>